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19" w:rsidRPr="00D63271" w:rsidRDefault="00AA3319" w:rsidP="00AA3319">
      <w:pPr>
        <w:pStyle w:val="1"/>
        <w:spacing w:before="120"/>
        <w:ind w:left="1701"/>
        <w:rPr>
          <w:rFonts w:ascii="Times New Roman" w:hAnsi="Times New Roman" w:cs="Times New Roman"/>
        </w:rPr>
      </w:pPr>
      <w:r w:rsidRPr="00D63271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55DCC19" wp14:editId="1A6B9A0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3271">
        <w:rPr>
          <w:rFonts w:ascii="Times New Roman" w:hAnsi="Times New Roman" w:cs="Times New Roman"/>
          <w:sz w:val="36"/>
          <w:szCs w:val="36"/>
          <w:lang w:eastAsia="ru-RU"/>
        </w:rPr>
        <w:t>ГЛАВА ГОРОДСКОГО ОКРУГА ФРЯЗИНО</w:t>
      </w:r>
    </w:p>
    <w:p w:rsidR="00AA3319" w:rsidRPr="00D63271" w:rsidRDefault="00AA3319" w:rsidP="00AA3319">
      <w:pPr>
        <w:pStyle w:val="3"/>
        <w:ind w:left="2410"/>
        <w:rPr>
          <w:rFonts w:ascii="Times New Roman" w:hAnsi="Times New Roman" w:cs="Times New Roman"/>
          <w:b/>
        </w:rPr>
      </w:pPr>
      <w:r w:rsidRPr="00D63271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AA3319" w:rsidRPr="00D63271" w:rsidRDefault="00AA3319" w:rsidP="00AA3319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AA3319" w:rsidRPr="00D63271" w:rsidRDefault="00AA3319" w:rsidP="00D63271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r w:rsidRPr="00D63271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D63271">
        <w:rPr>
          <w:rFonts w:ascii="Times New Roman" w:hAnsi="Times New Roman" w:cs="Times New Roman"/>
          <w:sz w:val="28"/>
          <w:szCs w:val="28"/>
        </w:rPr>
        <w:t xml:space="preserve"> </w:t>
      </w:r>
      <w:r w:rsidR="00D63271" w:rsidRPr="00D63271">
        <w:rPr>
          <w:rFonts w:ascii="Times New Roman" w:hAnsi="Times New Roman" w:cs="Times New Roman"/>
          <w:sz w:val="28"/>
          <w:szCs w:val="28"/>
        </w:rPr>
        <w:t>28.10.2019</w:t>
      </w:r>
      <w:r w:rsidRPr="00D63271">
        <w:rPr>
          <w:rFonts w:ascii="Times New Roman" w:hAnsi="Times New Roman" w:cs="Times New Roman"/>
          <w:sz w:val="28"/>
          <w:szCs w:val="28"/>
        </w:rPr>
        <w:t xml:space="preserve"> </w:t>
      </w:r>
      <w:r w:rsidRPr="00D63271">
        <w:rPr>
          <w:rFonts w:ascii="Times New Roman" w:hAnsi="Times New Roman" w:cs="Times New Roman"/>
          <w:b/>
          <w:sz w:val="28"/>
          <w:szCs w:val="28"/>
        </w:rPr>
        <w:t>№</w:t>
      </w:r>
      <w:r w:rsidRPr="00D63271">
        <w:rPr>
          <w:rFonts w:ascii="Times New Roman" w:hAnsi="Times New Roman" w:cs="Times New Roman"/>
          <w:sz w:val="28"/>
          <w:szCs w:val="28"/>
        </w:rPr>
        <w:t xml:space="preserve"> </w:t>
      </w:r>
      <w:r w:rsidR="00D63271" w:rsidRPr="00D63271">
        <w:rPr>
          <w:rFonts w:ascii="Times New Roman" w:hAnsi="Times New Roman" w:cs="Times New Roman"/>
          <w:sz w:val="28"/>
          <w:szCs w:val="28"/>
        </w:rPr>
        <w:t>632</w:t>
      </w:r>
    </w:p>
    <w:p w:rsidR="00DC73B4" w:rsidRDefault="00DC73B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DC73B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9D3739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ликвидации Управления культуры, физической культуры и спорта администрации городского округа Фрязино</w:t>
      </w:r>
    </w:p>
    <w:p w:rsidR="00DC73B4" w:rsidRDefault="00DC73B4">
      <w:pPr>
        <w:spacing w:after="0" w:line="240" w:lineRule="auto"/>
        <w:ind w:right="4677"/>
        <w:jc w:val="both"/>
        <w:rPr>
          <w:rFonts w:ascii="Times New Roman" w:hAnsi="Times New Roman" w:cs="Times New Roman"/>
          <w:sz w:val="16"/>
          <w:szCs w:val="16"/>
        </w:rPr>
      </w:pPr>
    </w:p>
    <w:p w:rsidR="00DC73B4" w:rsidRDefault="009D3739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Руководствуясь статьями 61-64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Фрязино от 24.10.2019 № 379 «О ликвидации Управления культуры, физической культуры и спорта администрации городского округа Фрязино», Уставом городского округа Фрязино Московской области</w:t>
      </w:r>
    </w:p>
    <w:p w:rsidR="00DC73B4" w:rsidRDefault="009D3739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ю:</w:t>
      </w:r>
    </w:p>
    <w:p w:rsidR="00DC73B4" w:rsidRDefault="00DC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C73B4" w:rsidRDefault="009D3739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Ликвидировать Управление культуры, физической культуры и спорта администрации городского округа Фрязино (далее – Управление).</w:t>
      </w:r>
    </w:p>
    <w:p w:rsidR="00DC73B4" w:rsidRDefault="009D3739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срок ликвидации Управления в течение 6 месяцев со дня вступления в силу настоящего постановления.</w:t>
      </w:r>
    </w:p>
    <w:p w:rsidR="00DC73B4" w:rsidRDefault="009D3739">
      <w:pPr>
        <w:pStyle w:val="ab"/>
        <w:numPr>
          <w:ilvl w:val="0"/>
          <w:numId w:val="1"/>
        </w:numPr>
        <w:tabs>
          <w:tab w:val="left" w:pos="851"/>
        </w:tabs>
        <w:spacing w:line="240" w:lineRule="auto"/>
        <w:ind w:left="0" w:firstLine="568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DC73B4" w:rsidRDefault="009D3739">
      <w:pPr>
        <w:pStyle w:val="ab"/>
        <w:numPr>
          <w:ilvl w:val="1"/>
          <w:numId w:val="1"/>
        </w:numPr>
        <w:tabs>
          <w:tab w:val="left" w:pos="851"/>
        </w:tabs>
        <w:spacing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ликвидационной комиссии (приложение 1);</w:t>
      </w:r>
    </w:p>
    <w:p w:rsidR="00DC73B4" w:rsidRDefault="009D3739">
      <w:pPr>
        <w:pStyle w:val="ab"/>
        <w:numPr>
          <w:ilvl w:val="1"/>
          <w:numId w:val="1"/>
        </w:numPr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ликвидации Управления в соответствии с Гражданским кодексом Российской Федерации (приложение 2). 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Председателю ликвидационной комиссии: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В течение трех рабочих дней после даты принятия настоящего постановления уведомить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письменной форме о ликвидации Управления уполномоченный государственный орган для внесения в Единый государственный реестр юридических лиц с приложением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  <w:t>В течение трех рабочих дней со дня принятия настоящего постановления уведомить Пенсионный фонд и Фонд социального страхования о ликвидации Управления.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ab/>
        <w:t>Обеспечить публикацию в средствах массовой информации сообщения о ликвидации Управления, о порядке и сроках заявлений требований его кредиторов.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>
        <w:rPr>
          <w:rFonts w:ascii="Times New Roman" w:hAnsi="Times New Roman" w:cs="Times New Roman"/>
          <w:sz w:val="28"/>
          <w:szCs w:val="28"/>
        </w:rPr>
        <w:tab/>
        <w:t>Обеспечить выявление кредиторов и письменное уведомление их о ликвидации Управления.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  <w:t xml:space="preserve">Обеспечить составление промежуточного ликвидационного баланса в 10-дневный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периода, установленного для предъявления требований кредиторами, и представление его на утверждение Учредителю Управления.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  <w:t>Обеспечить Составление ликвидационного баланса в 10-дневный срок после завершения расчетов с кредиторами и представление его на утверждение Учредителю Управления.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ab/>
        <w:t>По окончании ликвидации подготовить и передать документы (управленческие, финансово-хозяйственные, по личному составу) Управления в архивный отдел управления делами администрации городского округа Фрязино.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Комитету по управлению имуществом администрации городского округа Фрязино после ликвидации Управления внести соответствующие изменения в Реестр муниципальной собственности городского округа Фрязино Московской области.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Установить, что со дня вступления в силу настоящего постановления функции единоличного исполнительного органа Управления переходят к ликвидационной комиссии.</w:t>
      </w:r>
    </w:p>
    <w:p w:rsidR="00DC73B4" w:rsidRDefault="009D3739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DC73B4" w:rsidRDefault="00376DA4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A4">
        <w:rPr>
          <w:rFonts w:ascii="Times New Roman" w:hAnsi="Times New Roman" w:cs="Times New Roman"/>
          <w:sz w:val="28"/>
          <w:szCs w:val="28"/>
        </w:rPr>
        <w:t>8</w:t>
      </w:r>
      <w:r w:rsidR="009D3739">
        <w:rPr>
          <w:rFonts w:ascii="Times New Roman" w:hAnsi="Times New Roman" w:cs="Times New Roman"/>
          <w:sz w:val="28"/>
          <w:szCs w:val="28"/>
        </w:rPr>
        <w:t>.</w:t>
      </w:r>
      <w:r w:rsidR="009D3739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proofErr w:type="gramStart"/>
      <w:r w:rsidR="009D3739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9D3739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DC73B4" w:rsidRDefault="00376DA4">
      <w:pPr>
        <w:pStyle w:val="ab"/>
        <w:tabs>
          <w:tab w:val="left" w:pos="851"/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DA4">
        <w:rPr>
          <w:rFonts w:ascii="Times New Roman" w:hAnsi="Times New Roman" w:cs="Times New Roman"/>
          <w:sz w:val="28"/>
          <w:szCs w:val="28"/>
        </w:rPr>
        <w:t>9</w:t>
      </w:r>
      <w:r w:rsidR="009D3739">
        <w:rPr>
          <w:rFonts w:ascii="Times New Roman" w:hAnsi="Times New Roman" w:cs="Times New Roman"/>
          <w:sz w:val="28"/>
          <w:szCs w:val="28"/>
        </w:rPr>
        <w:t>.</w:t>
      </w:r>
      <w:r w:rsidR="009D3739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заместителя главы администрации Егорова А.Д.</w:t>
      </w:r>
    </w:p>
    <w:p w:rsidR="00DC73B4" w:rsidRDefault="00DC73B4">
      <w:pPr>
        <w:pStyle w:val="ab"/>
        <w:tabs>
          <w:tab w:val="left" w:pos="851"/>
        </w:tabs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DC73B4">
      <w:pPr>
        <w:pStyle w:val="ab"/>
        <w:tabs>
          <w:tab w:val="left" w:pos="851"/>
        </w:tabs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DC73B4">
      <w:pPr>
        <w:pStyle w:val="ab"/>
        <w:tabs>
          <w:tab w:val="left" w:pos="851"/>
        </w:tabs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DC73B4">
      <w:pPr>
        <w:pStyle w:val="ab"/>
        <w:tabs>
          <w:tab w:val="left" w:pos="851"/>
        </w:tabs>
        <w:spacing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DC73B4" w:rsidRDefault="009D3739">
      <w:pPr>
        <w:tabs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  <w:t xml:space="preserve"> К.В. Бочаров</w:t>
      </w: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9D3739">
      <w:pPr>
        <w:ind w:firstLine="5387"/>
      </w:pPr>
      <w:r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DC73B4" w:rsidRDefault="009D3739">
      <w:pPr>
        <w:ind w:firstLine="538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УТВЕРЖДЕН</w:t>
      </w:r>
    </w:p>
    <w:p w:rsidR="00DC73B4" w:rsidRDefault="009D3739">
      <w:pPr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Постановлением Главы </w:t>
      </w:r>
    </w:p>
    <w:p w:rsidR="00DC73B4" w:rsidRDefault="009D3739">
      <w:pPr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городского округа Фрязино</w:t>
      </w:r>
    </w:p>
    <w:p w:rsidR="00DC73B4" w:rsidRDefault="009D3739">
      <w:pPr>
        <w:ind w:firstLine="538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D63271">
        <w:rPr>
          <w:rFonts w:ascii="Times New Roman" w:hAnsi="Times New Roman" w:cs="Times New Roman"/>
          <w:sz w:val="27"/>
          <w:szCs w:val="27"/>
        </w:rPr>
        <w:t>28.10.2019</w:t>
      </w:r>
      <w:r>
        <w:rPr>
          <w:rFonts w:ascii="Times New Roman" w:hAnsi="Times New Roman" w:cs="Times New Roman"/>
          <w:sz w:val="27"/>
          <w:szCs w:val="27"/>
        </w:rPr>
        <w:t xml:space="preserve"> № </w:t>
      </w:r>
      <w:r w:rsidR="00D63271">
        <w:rPr>
          <w:rFonts w:ascii="Times New Roman" w:hAnsi="Times New Roman" w:cs="Times New Roman"/>
          <w:sz w:val="27"/>
          <w:szCs w:val="27"/>
        </w:rPr>
        <w:t>632</w:t>
      </w:r>
    </w:p>
    <w:p w:rsidR="00DC73B4" w:rsidRDefault="00DC73B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9D3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</w:p>
    <w:p w:rsidR="00DC73B4" w:rsidRDefault="009D373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Управления культуры, физической культуры и спорта администрации городского округа Фрязино</w:t>
      </w: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6" w:type="dxa"/>
        <w:tblInd w:w="55" w:type="dxa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49"/>
        <w:gridCol w:w="7147"/>
      </w:tblGrid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 А.Д.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городского округа Фрязино (председатель комиссии)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Бурцева Т.К.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Сухорученков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имуществом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Шувалова Ю.М.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физической культуры и спорта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Баранникова Г.Л.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В.А.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кадров и муниципальной службы  Управления делами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С.В.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Комитета по экономике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Шелестова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И.М.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tabs>
                <w:tab w:val="left" w:pos="1134"/>
              </w:tabs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архивного отдела управления делами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Епифанова А.А.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учета и распоряжения муниципальным имуществом Комитета по управлению имуществом  администрации городского округа Фрязино</w:t>
            </w:r>
          </w:p>
        </w:tc>
      </w:tr>
      <w:tr w:rsidR="00DC73B4">
        <w:tc>
          <w:tcPr>
            <w:tcW w:w="2549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Фахреева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С.Е.</w:t>
            </w:r>
          </w:p>
        </w:tc>
        <w:tc>
          <w:tcPr>
            <w:tcW w:w="7147" w:type="dxa"/>
            <w:shd w:val="clear" w:color="auto" w:fill="auto"/>
          </w:tcPr>
          <w:p w:rsidR="00DC73B4" w:rsidRDefault="009D3739">
            <w:pPr>
              <w:pStyle w:val="ab"/>
              <w:tabs>
                <w:tab w:val="left" w:pos="993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 МКУ «ЦБС» (по согласованию)</w:t>
            </w:r>
          </w:p>
        </w:tc>
      </w:tr>
    </w:tbl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3B4" w:rsidRDefault="009D3739">
      <w:pPr>
        <w:ind w:left="4679" w:firstLine="277"/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>
        <w:br w:type="page"/>
      </w:r>
    </w:p>
    <w:p w:rsidR="00DC73B4" w:rsidRDefault="009D3739">
      <w:pPr>
        <w:ind w:left="4679" w:firstLine="277"/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      Приложение 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C73B4" w:rsidRDefault="009D3739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7"/>
          <w:szCs w:val="27"/>
        </w:rPr>
        <w:t>УТВЕРЖДЕН</w:t>
      </w:r>
    </w:p>
    <w:p w:rsidR="00DC73B4" w:rsidRDefault="009D3739">
      <w:pPr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Постановлением Главы </w:t>
      </w:r>
    </w:p>
    <w:p w:rsidR="00DC73B4" w:rsidRDefault="009D3739">
      <w:pPr>
        <w:ind w:firstLine="5387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городского округа Фрязино</w:t>
      </w:r>
    </w:p>
    <w:p w:rsidR="00D63271" w:rsidRDefault="00D63271" w:rsidP="00D63271">
      <w:pPr>
        <w:ind w:firstLine="5387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28.10.2019 № 632</w:t>
      </w:r>
    </w:p>
    <w:p w:rsidR="00DC73B4" w:rsidRDefault="00DC7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73B4" w:rsidRDefault="009D3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ЛИКВИДАЦИИ </w:t>
      </w:r>
    </w:p>
    <w:p w:rsidR="00DC73B4" w:rsidRDefault="009D37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Управления культуры, физической культуры и спорта администрации городского округа Фрязино</w:t>
      </w:r>
    </w:p>
    <w:p w:rsidR="00DC73B4" w:rsidRDefault="00DC7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tblInd w:w="-3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outset" w:sz="6" w:space="0" w:color="00000A"/>
          <w:insideH w:val="single" w:sz="6" w:space="0" w:color="000001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850"/>
        <w:gridCol w:w="2878"/>
        <w:gridCol w:w="1785"/>
        <w:gridCol w:w="1834"/>
      </w:tblGrid>
      <w:tr w:rsidR="00DC73B4">
        <w:trPr>
          <w:trHeight w:val="634"/>
        </w:trPr>
        <w:tc>
          <w:tcPr>
            <w:tcW w:w="4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vAlign w:val="center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vAlign w:val="center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2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vAlign w:val="center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</w:t>
            </w:r>
          </w:p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исполнения</w:t>
            </w:r>
          </w:p>
        </w:tc>
        <w:tc>
          <w:tcPr>
            <w:tcW w:w="1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  <w:vAlign w:val="center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</w:t>
            </w:r>
          </w:p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лица</w:t>
            </w:r>
          </w:p>
        </w:tc>
        <w:tc>
          <w:tcPr>
            <w:tcW w:w="18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</w:tbl>
    <w:p w:rsidR="00DC73B4" w:rsidRDefault="00DC73B4">
      <w:pPr>
        <w:sectPr w:rsidR="00DC73B4">
          <w:headerReference w:type="default" r:id="rId10"/>
          <w:pgSz w:w="11906" w:h="16838"/>
          <w:pgMar w:top="1134" w:right="567" w:bottom="851" w:left="1560" w:header="568" w:footer="0" w:gutter="0"/>
          <w:cols w:space="720"/>
          <w:formProt w:val="0"/>
          <w:titlePg/>
          <w:docGrid w:linePitch="360"/>
        </w:sectPr>
      </w:pPr>
    </w:p>
    <w:tbl>
      <w:tblPr>
        <w:tblW w:w="9789" w:type="dxa"/>
        <w:tblInd w:w="-3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outset" w:sz="6" w:space="0" w:color="00000A"/>
          <w:insideH w:val="single" w:sz="6" w:space="0" w:color="000001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873"/>
        <w:gridCol w:w="2870"/>
        <w:gridCol w:w="1792"/>
        <w:gridCol w:w="1835"/>
      </w:tblGrid>
      <w:tr w:rsidR="00DC73B4">
        <w:trPr>
          <w:tblHeader/>
        </w:trPr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</w:tcPr>
          <w:p w:rsidR="00DC73B4" w:rsidRDefault="009D3739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</w:tcPr>
          <w:p w:rsidR="00DC73B4" w:rsidRDefault="009D3739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</w:tcPr>
          <w:p w:rsidR="00DC73B4" w:rsidRDefault="009D3739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FFFFFF" w:themeFill="background1"/>
          </w:tcPr>
          <w:p w:rsidR="00DC73B4" w:rsidRDefault="009D3739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</w:tcPr>
          <w:p w:rsidR="00DC73B4" w:rsidRDefault="009D3739">
            <w:pPr>
              <w:spacing w:beforeAutospacing="1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Опубликовать в журнале «Вестник государственной регистрации» информацию о ликвидации Управления и о порядке и сроке заявления требований его кредиторами  </w:t>
            </w:r>
          </w:p>
          <w:p w:rsidR="00DC73B4" w:rsidRDefault="00DC73B4">
            <w:pPr>
              <w:spacing w:after="0" w:line="240" w:lineRule="auto"/>
              <w:ind w:left="121" w:right="14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незамедлительно после уведомления уполномоченного государственного органа для внесения в Единый государственный реестр юридических лиц уведомления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 Гражданского кодекса Российской Федерации, с учетом сроков окончания полномочий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 уведомить кредиторов  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рабочих дней со дня вступления в силу постановления о ликвидации </w:t>
            </w:r>
          </w:p>
          <w:p w:rsidR="00DC73B4" w:rsidRDefault="00DC73B4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Письменно направить дебиторам требования о выплате денежных средств  </w:t>
            </w:r>
          </w:p>
          <w:p w:rsidR="00DC73B4" w:rsidRDefault="00DC73B4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рабочих дней со дня вступления в силу постановления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Провести инвентаризацию имущества ликвидируемого предприятия  </w:t>
            </w:r>
          </w:p>
          <w:p w:rsidR="00DC73B4" w:rsidRDefault="00DC73B4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15 рабочих дней со дня вступления в силу постановления о ликвидации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ст.12 Федерального закона № 129 «О бухгалтерском учете»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Предупредить работников Управления о предстоящем увольнении с соблюдением трудовых и социальных гарантий</w:t>
            </w:r>
          </w:p>
          <w:p w:rsidR="00DC73B4" w:rsidRDefault="00DC73B4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C73B4" w:rsidRDefault="00DC73B4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62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чем за два месяца до увольнения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DC73B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промежуточный ликвидационный баланс в соответствии с действующими правилами ведения бухгалтерского учета и отчетности с приложением перечня имущества ликвидируемого предприятия, а также перечня требований, предъявленных кредиторами и результаты их рассмотрения, и уведомить регистрирующий орган по форме  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15001 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окончания срока для предъявления требований кредиторов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п.2 ст.63 Гражданского кодекса Российской Федерации </w:t>
            </w:r>
          </w:p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расчетов с кредиторами первой и второй очереди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одного месяца со дня утверждения промежуточного ликвидационного баланса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63, ст. 64 Гражданского кодекса Российской Федерации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расчетов с кредиторами третьей и четвертой очереди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месяца со дня утверждения промежуточного ликвидационного баланса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ст. 63, ст. 64 Гражданского кодекса Российской Федерации </w:t>
            </w:r>
          </w:p>
        </w:tc>
      </w:tr>
      <w:tr w:rsidR="00DC73B4">
        <w:trPr>
          <w:cantSplit/>
        </w:trPr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Составить ликвидационный баланс в соответствии с действующими правилами ведения бухгалтерского учета и отчетности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 расчетов с кредиторами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5 ст. 63 Гражданского кодекса Российской Федерации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Направление в регистрирующий орган уведомления о завершении процесса ликвидации  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14" w:right="179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10 календарных дней после утверждения ликвидационного баланса с учетом ст.  8, ст.21 ФЗ № 129 «О государственной регистрации юридических лиц и индивидуальных предпринимателей»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п.1 ст.21 госпошлина 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размере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установленном ст.  333.33 Налогового кодекса Российской Федерации </w:t>
            </w:r>
          </w:p>
        </w:tc>
      </w:tr>
      <w:tr w:rsidR="00DC73B4">
        <w:tc>
          <w:tcPr>
            <w:tcW w:w="4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11 </w:t>
            </w:r>
          </w:p>
        </w:tc>
        <w:tc>
          <w:tcPr>
            <w:tcW w:w="2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21" w:right="142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Предоставить свидетельство об исключении юридического лица из Единого государственного реестра юридических лиц </w:t>
            </w:r>
          </w:p>
        </w:tc>
        <w:tc>
          <w:tcPr>
            <w:tcW w:w="2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outset" w:sz="6" w:space="0" w:color="00000A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ind w:left="185" w:right="14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ликвидационная комиссия </w:t>
            </w:r>
          </w:p>
        </w:tc>
        <w:tc>
          <w:tcPr>
            <w:tcW w:w="1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DC73B4" w:rsidRDefault="009D37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DC73B4" w:rsidRDefault="00DC73B4">
      <w:pPr>
        <w:spacing w:after="0" w:line="240" w:lineRule="auto"/>
        <w:jc w:val="both"/>
      </w:pPr>
    </w:p>
    <w:sectPr w:rsidR="00DC73B4">
      <w:type w:val="continuous"/>
      <w:pgSz w:w="11906" w:h="16838"/>
      <w:pgMar w:top="1134" w:right="567" w:bottom="851" w:left="1560" w:header="56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4B" w:rsidRDefault="00551D4B">
      <w:pPr>
        <w:spacing w:after="0" w:line="240" w:lineRule="auto"/>
      </w:pPr>
      <w:r>
        <w:separator/>
      </w:r>
    </w:p>
  </w:endnote>
  <w:endnote w:type="continuationSeparator" w:id="0">
    <w:p w:rsidR="00551D4B" w:rsidRDefault="0055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4B" w:rsidRDefault="00551D4B">
      <w:pPr>
        <w:spacing w:after="0" w:line="240" w:lineRule="auto"/>
      </w:pPr>
      <w:r>
        <w:separator/>
      </w:r>
    </w:p>
  </w:footnote>
  <w:footnote w:type="continuationSeparator" w:id="0">
    <w:p w:rsidR="00551D4B" w:rsidRDefault="0055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270581"/>
      <w:docPartObj>
        <w:docPartGallery w:val="Page Numbers (Top of Page)"/>
        <w:docPartUnique/>
      </w:docPartObj>
    </w:sdtPr>
    <w:sdtEndPr/>
    <w:sdtContent>
      <w:p w:rsidR="00DC73B4" w:rsidRDefault="009D3739">
        <w:pPr>
          <w:pStyle w:val="af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D63271">
          <w:rPr>
            <w:rFonts w:ascii="Times New Roman" w:hAnsi="Times New Roman"/>
            <w:noProof/>
            <w:sz w:val="24"/>
            <w:szCs w:val="24"/>
          </w:rPr>
          <w:t>5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  <w:p w:rsidR="00DC73B4" w:rsidRDefault="00551D4B">
        <w:pPr>
          <w:pStyle w:val="af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26B2"/>
    <w:multiLevelType w:val="multilevel"/>
    <w:tmpl w:val="83EEB2A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1">
    <w:nsid w:val="503C5424"/>
    <w:multiLevelType w:val="multilevel"/>
    <w:tmpl w:val="3ACE4E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B4"/>
    <w:rsid w:val="00376DA4"/>
    <w:rsid w:val="00551D4B"/>
    <w:rsid w:val="00897D2C"/>
    <w:rsid w:val="009D3739"/>
    <w:rsid w:val="00AA3319"/>
    <w:rsid w:val="00AE13D9"/>
    <w:rsid w:val="00D63271"/>
    <w:rsid w:val="00DC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qFormat/>
    <w:rsid w:val="00066BBD"/>
    <w:pPr>
      <w:outlineLvl w:val="0"/>
    </w:pPr>
  </w:style>
  <w:style w:type="paragraph" w:styleId="2">
    <w:name w:val="heading 2"/>
    <w:basedOn w:val="a0"/>
    <w:qFormat/>
    <w:rsid w:val="00066BBD"/>
    <w:pPr>
      <w:outlineLvl w:val="1"/>
    </w:pPr>
  </w:style>
  <w:style w:type="paragraph" w:styleId="3">
    <w:name w:val="heading 3"/>
    <w:basedOn w:val="a0"/>
    <w:qFormat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sid w:val="00DB53B2"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sid w:val="00DB53B2"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eastAsia="Calibri" w:hAnsi="Times New Roman" w:cs="Times New Roman"/>
      <w:sz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8"/>
    </w:rPr>
  </w:style>
  <w:style w:type="character" w:customStyle="1" w:styleId="ListLabel9">
    <w:name w:val="ListLabel 9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10">
    <w:name w:val="Название1"/>
    <w:basedOn w:val="a0"/>
    <w:qFormat/>
    <w:rsid w:val="00066BBD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066BBD"/>
  </w:style>
  <w:style w:type="paragraph" w:styleId="ae">
    <w:name w:val="Subtitle"/>
    <w:basedOn w:val="a0"/>
    <w:qFormat/>
    <w:rsid w:val="00066BBD"/>
  </w:style>
  <w:style w:type="paragraph" w:customStyle="1" w:styleId="af">
    <w:name w:val="Содержимое таблицы"/>
    <w:basedOn w:val="a"/>
    <w:qFormat/>
    <w:rsid w:val="00066BBD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Заголовок таблицы"/>
    <w:basedOn w:val="af"/>
    <w:qFormat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qFormat/>
    <w:rsid w:val="00066BBD"/>
    <w:pPr>
      <w:outlineLvl w:val="0"/>
    </w:pPr>
  </w:style>
  <w:style w:type="paragraph" w:styleId="2">
    <w:name w:val="heading 2"/>
    <w:basedOn w:val="a0"/>
    <w:qFormat/>
    <w:rsid w:val="00066BBD"/>
    <w:pPr>
      <w:outlineLvl w:val="1"/>
    </w:pPr>
  </w:style>
  <w:style w:type="paragraph" w:styleId="3">
    <w:name w:val="heading 3"/>
    <w:basedOn w:val="a0"/>
    <w:qFormat/>
    <w:rsid w:val="00066BBD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character" w:customStyle="1" w:styleId="ListLabel1">
    <w:name w:val="ListLabel 1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a5">
    <w:name w:val="Верх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a6">
    <w:name w:val="Нижний колонтитул Знак"/>
    <w:basedOn w:val="a1"/>
    <w:uiPriority w:val="99"/>
    <w:qFormat/>
    <w:rsid w:val="00013851"/>
    <w:rPr>
      <w:rFonts w:ascii="Calibri" w:eastAsia="Calibri" w:hAnsi="Calibri"/>
      <w:color w:val="00000A"/>
      <w:sz w:val="22"/>
    </w:rPr>
  </w:style>
  <w:style w:type="character" w:customStyle="1" w:styleId="ListLabel2">
    <w:name w:val="ListLabel 2"/>
    <w:qFormat/>
    <w:rsid w:val="00066BBD"/>
    <w:rPr>
      <w:rFonts w:ascii="Times New Roman" w:eastAsia="Calibri" w:hAnsi="Times New Roman" w:cs="Times New Roman"/>
      <w:sz w:val="28"/>
    </w:rPr>
  </w:style>
  <w:style w:type="character" w:customStyle="1" w:styleId="ListLabel3">
    <w:name w:val="ListLabel 3"/>
    <w:qFormat/>
    <w:rsid w:val="00066BBD"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sid w:val="00DB53B2"/>
    <w:rPr>
      <w:rFonts w:ascii="Times New Roman" w:eastAsia="Calibri" w:hAnsi="Times New Roman" w:cs="Times New Roman"/>
      <w:sz w:val="28"/>
    </w:rPr>
  </w:style>
  <w:style w:type="character" w:customStyle="1" w:styleId="ListLabel5">
    <w:name w:val="ListLabel 5"/>
    <w:qFormat/>
    <w:rsid w:val="00DB53B2"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Times New Roman" w:eastAsia="Calibri" w:hAnsi="Times New Roman" w:cs="Times New Roman"/>
      <w:sz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8"/>
    </w:rPr>
  </w:style>
  <w:style w:type="character" w:customStyle="1" w:styleId="ListLabel9">
    <w:name w:val="ListLabel 9"/>
    <w:qFormat/>
    <w:rPr>
      <w:rFonts w:ascii="Times New Roman" w:hAnsi="Times New Roman" w:cs="Times New Roman"/>
      <w:sz w:val="28"/>
      <w:szCs w:val="28"/>
    </w:rPr>
  </w:style>
  <w:style w:type="paragraph" w:customStyle="1" w:styleId="a0">
    <w:name w:val="Заголовок"/>
    <w:basedOn w:val="a"/>
    <w:next w:val="a7"/>
    <w:qFormat/>
    <w:rsid w:val="00066B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066BBD"/>
    <w:pPr>
      <w:spacing w:after="140" w:line="288" w:lineRule="auto"/>
    </w:pPr>
  </w:style>
  <w:style w:type="paragraph" w:styleId="a8">
    <w:name w:val="List"/>
    <w:basedOn w:val="a7"/>
    <w:rsid w:val="00066BBD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066BBD"/>
    <w:pPr>
      <w:suppressLineNumbers/>
    </w:pPr>
    <w:rPr>
      <w:rFonts w:cs="Mangal"/>
    </w:rPr>
  </w:style>
  <w:style w:type="paragraph" w:customStyle="1" w:styleId="10">
    <w:name w:val="Название1"/>
    <w:basedOn w:val="a0"/>
    <w:qFormat/>
    <w:rsid w:val="00066BBD"/>
  </w:style>
  <w:style w:type="paragraph" w:styleId="ab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rsid w:val="00066BBD"/>
  </w:style>
  <w:style w:type="paragraph" w:styleId="ae">
    <w:name w:val="Subtitle"/>
    <w:basedOn w:val="a0"/>
    <w:qFormat/>
    <w:rsid w:val="00066BBD"/>
  </w:style>
  <w:style w:type="paragraph" w:customStyle="1" w:styleId="af">
    <w:name w:val="Содержимое таблицы"/>
    <w:basedOn w:val="a"/>
    <w:qFormat/>
    <w:rsid w:val="00066BBD"/>
  </w:style>
  <w:style w:type="paragraph" w:styleId="af0">
    <w:name w:val="head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01385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Заголовок таблицы"/>
    <w:basedOn w:val="af"/>
    <w:qFormat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1655-A8C1-4AA8-B569-45FB7A77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1145</Words>
  <Characters>6529</Characters>
  <Application>Microsoft Office Word</Application>
  <DocSecurity>0</DocSecurity>
  <Lines>54</Lines>
  <Paragraphs>15</Paragraphs>
  <ScaleCrop>false</ScaleCrop>
  <Company>Microsoft</Company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dc:description/>
  <cp:lastModifiedBy>Петрова</cp:lastModifiedBy>
  <cp:revision>12</cp:revision>
  <cp:lastPrinted>2019-10-29T16:14:00Z</cp:lastPrinted>
  <dcterms:created xsi:type="dcterms:W3CDTF">2019-10-29T11:35:00Z</dcterms:created>
  <dcterms:modified xsi:type="dcterms:W3CDTF">2019-10-31T11:14:00Z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