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769"/>
        <w:gridCol w:w="2007"/>
        <w:gridCol w:w="4862"/>
      </w:tblGrid>
      <w:tr>
        <w:trPr>
          <w:trHeight w:val="3501" w:hRule="atLeast"/>
        </w:trPr>
        <w:tc>
          <w:tcPr>
            <w:tcW w:w="2769" w:type="dxa"/>
            <w:tcBorders/>
          </w:tcPr>
          <w:p>
            <w:pPr>
              <w:pStyle w:val="Style15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2007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862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4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«Согласование схем                                                                    информационного и информационно-рекламного оформления здания, строения, 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                                                                       прилегающей к ним на основании                                                                     правоустанавливающих документов территории»                                                                  </w:t>
            </w:r>
          </w:p>
        </w:tc>
      </w:tr>
    </w:tbl>
    <w:p>
      <w:pPr>
        <w:pStyle w:val="Style16"/>
        <w:numPr>
          <w:ilvl w:val="0"/>
          <w:numId w:val="0"/>
        </w:numPr>
        <w:spacing w:lineRule="auto" w:line="276"/>
        <w:outlineLvl w:val="1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16"/>
        <w:numPr>
          <w:ilvl w:val="0"/>
          <w:numId w:val="0"/>
        </w:numPr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1"/>
          <w:b w:val="false"/>
          <w:bCs w:val="false"/>
          <w:sz w:val="28"/>
          <w:szCs w:val="28"/>
          <w:lang w:eastAsia="en-US" w:bidi="ar-SA"/>
        </w:rPr>
        <w:t>отказе в приеме документов,</w:t>
      </w:r>
    </w:p>
    <w:p>
      <w:pPr>
        <w:pStyle w:val="Style16"/>
        <w:numPr>
          <w:ilvl w:val="0"/>
          <w:numId w:val="0"/>
        </w:numPr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необходимых для предоставления муниципальной услуги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7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(ФИО (последнее при наличии) 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лица)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76"/>
        <w:ind w:firstLine="5245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</w:r>
    </w:p>
    <w:p>
      <w:pPr>
        <w:pStyle w:val="Style16"/>
        <w:rPr>
          <w:b w:val="false"/>
          <w:sz w:val="28"/>
          <w:szCs w:val="28"/>
          <w:lang w:eastAsia="en-US" w:bidi="ar-SA"/>
        </w:rPr>
      </w:pPr>
      <w:r>
        <w:rPr>
          <w:b w:val="false"/>
          <w:sz w:val="28"/>
          <w:szCs w:val="28"/>
          <w:lang w:eastAsia="en-US" w:bidi="ar-SA"/>
        </w:rPr>
        <w:t>Решение об отказе в приеме документов,</w:t>
      </w:r>
    </w:p>
    <w:p>
      <w:pPr>
        <w:pStyle w:val="Style16"/>
        <w:rPr>
          <w:sz w:val="28"/>
          <w:szCs w:val="28"/>
        </w:rPr>
      </w:pPr>
      <w:r>
        <w:rPr>
          <w:b w:val="false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1"/>
          <w:b w:val="false"/>
          <w:bCs w:val="false"/>
          <w:sz w:val="28"/>
          <w:szCs w:val="28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>
      <w:pPr>
        <w:pStyle w:val="Style16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ind w:firstLine="709"/>
        <w:jc w:val="both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1"/>
          <w:b w:val="false"/>
          <w:bCs w:val="false"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Администрация городского округа Фрязино (далее – Администрация) рассмотрела запрос о предоставлении муниципальной услуги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 № ______ </w:t>
      </w:r>
      <w:r>
        <w:rPr>
          <w:rStyle w:val="21"/>
          <w:b w:val="false"/>
          <w:bCs w:val="false"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(далее – запрос, муниципальная услуга) и приняла решение об отказе в приеме запроса и документов, необходимых для предоставления муниципальной услуги, по следующему основанию: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tbl>
      <w:tblPr>
        <w:tblW w:w="9891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17"/>
        <w:gridCol w:w="3231"/>
        <w:gridCol w:w="3343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Ссылка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подпункт подраздела 19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,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в котором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документов,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необходимых для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предоставления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</w:tr>
    </w:tbl>
    <w:p>
      <w:pPr>
        <w:pStyle w:val="Style16"/>
        <w:ind w:firstLine="709"/>
        <w:jc w:val="both"/>
        <w:rPr>
          <w:b w:val="false"/>
          <w:bCs w:val="false"/>
        </w:rPr>
      </w:pPr>
      <w:r>
        <w:rPr>
          <w:b w:val="false"/>
          <w:bCs w:val="false"/>
          <w:sz w:val="28"/>
          <w:szCs w:val="28"/>
        </w:rPr>
        <w:t>Дополнительно информируем:</w:t>
      </w:r>
    </w:p>
    <w:p>
      <w:pPr>
        <w:pStyle w:val="Style16"/>
        <w:ind w:firstLine="709"/>
        <w:jc w:val="both"/>
        <w:rPr/>
      </w:pPr>
      <w:r>
        <w:rPr>
          <w:rStyle w:val="21"/>
          <w:b w:val="false"/>
          <w:bCs w:val="false"/>
          <w:sz w:val="28"/>
          <w:szCs w:val="28"/>
        </w:rPr>
        <w:t>_______________________________________________________________ (</w:t>
      </w:r>
      <w:r>
        <w:rPr>
          <w:rStyle w:val="21"/>
          <w:b w:val="false"/>
          <w:bCs w:val="false"/>
          <w:i/>
          <w:sz w:val="28"/>
          <w:szCs w:val="28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>
        <w:rPr>
          <w:rStyle w:val="21"/>
          <w:b w:val="false"/>
          <w:bCs w:val="false"/>
          <w:sz w:val="28"/>
          <w:szCs w:val="28"/>
        </w:rPr>
        <w:t>).</w:t>
      </w:r>
    </w:p>
    <w:p>
      <w:pPr>
        <w:pStyle w:val="Style16"/>
        <w:spacing w:lineRule="auto" w:line="276"/>
        <w:ind w:firstLine="709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jc w:val="both"/>
        <w:rPr/>
      </w:pPr>
      <w:r>
        <w:rPr>
          <w:rStyle w:val="21"/>
          <w:b w:val="false"/>
          <w:bCs w:val="false"/>
          <w:sz w:val="28"/>
          <w:szCs w:val="28"/>
        </w:rPr>
        <w:t xml:space="preserve">            </w:t>
      </w:r>
      <w:r>
        <w:rPr>
          <w:rStyle w:val="21"/>
          <w:b w:val="false"/>
          <w:bCs w:val="false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3434"/>
        <w:gridCol w:w="2793"/>
        <w:gridCol w:w="3411"/>
      </w:tblGrid>
      <w:tr>
        <w:trPr>
          <w:trHeight w:val="283" w:hRule="atLeast"/>
        </w:trPr>
        <w:tc>
          <w:tcPr>
            <w:tcW w:w="3434" w:type="dxa"/>
            <w:tcBorders/>
          </w:tcPr>
          <w:p>
            <w:pPr>
              <w:pStyle w:val="Style16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79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b w:val="false"/>
                <w:bCs w:val="false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b w:val="false"/>
                <w:bCs w:val="false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411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6"/>
              <w:widowControl w:val="false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16"/>
        <w:ind w:firstLine="709"/>
        <w:jc w:val="right"/>
        <w:rPr/>
      </w:pPr>
      <w:r>
        <w:rPr>
          <w:rStyle w:val="21"/>
          <w:b w:val="false"/>
          <w:bCs w:val="false"/>
          <w:sz w:val="28"/>
          <w:szCs w:val="28"/>
        </w:rPr>
        <w:t>«__» _____ 202__</w:t>
      </w:r>
    </w:p>
    <w:sectPr>
      <w:type w:val="continuous"/>
      <w:pgSz w:w="11906" w:h="16838"/>
      <w:pgMar w:left="1701" w:right="567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359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10"/>
    <w:next w:val="Normal"/>
    <w:qFormat/>
    <w:rsid w:val="0087359e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10"/>
    <w:next w:val="Normal"/>
    <w:qFormat/>
    <w:rsid w:val="0087359e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10"/>
    <w:next w:val="Normal"/>
    <w:qFormat/>
    <w:rsid w:val="0087359e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10"/>
    <w:next w:val="Normal"/>
    <w:qFormat/>
    <w:rsid w:val="0087359e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10"/>
    <w:next w:val="Normal"/>
    <w:qFormat/>
    <w:rsid w:val="0087359e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10"/>
    <w:next w:val="Normal"/>
    <w:qFormat/>
    <w:rsid w:val="0087359e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87359e"/>
    <w:rPr/>
  </w:style>
  <w:style w:type="character" w:styleId="PODBulletSymbols" w:customStyle="1">
    <w:name w:val="POD Bullet Symbols"/>
    <w:qFormat/>
    <w:rsid w:val="0087359e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87359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87359e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87359e"/>
    <w:rPr>
      <w:rFonts w:ascii="Times New Roman" w:hAnsi="Times New Roman" w:eastAsia="Calibri"/>
      <w:b/>
      <w:sz w:val="24"/>
      <w:szCs w:val="24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961259"/>
    <w:rPr>
      <w:rFonts w:ascii="Tahoma" w:hAnsi="Tahoma" w:cs="Mangal"/>
      <w:sz w:val="16"/>
      <w:szCs w:val="14"/>
    </w:rPr>
  </w:style>
  <w:style w:type="paragraph" w:styleId="Style10" w:customStyle="1">
    <w:name w:val="Заголовок"/>
    <w:basedOn w:val="Normal"/>
    <w:next w:val="Style11"/>
    <w:qFormat/>
    <w:rsid w:val="0087359e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1">
    <w:name w:val="Body Text"/>
    <w:basedOn w:val="Normal"/>
    <w:rsid w:val="0087359e"/>
    <w:pPr>
      <w:spacing w:lineRule="auto" w:line="276" w:before="0" w:after="140"/>
    </w:pPr>
    <w:rPr/>
  </w:style>
  <w:style w:type="paragraph" w:styleId="Style12">
    <w:name w:val="List"/>
    <w:basedOn w:val="Style11"/>
    <w:rsid w:val="0087359e"/>
    <w:pPr/>
    <w:rPr/>
  </w:style>
  <w:style w:type="paragraph" w:styleId="Style13" w:customStyle="1">
    <w:name w:val="Caption"/>
    <w:basedOn w:val="Normal"/>
    <w:qFormat/>
    <w:rsid w:val="0087359e"/>
    <w:pPr>
      <w:suppressLineNumbers/>
      <w:spacing w:before="120" w:after="120"/>
    </w:pPr>
    <w:rPr>
      <w:i/>
      <w:iCs/>
    </w:rPr>
  </w:style>
  <w:style w:type="paragraph" w:styleId="Style14" w:customStyle="1">
    <w:name w:val="Указатель"/>
    <w:basedOn w:val="Normal"/>
    <w:qFormat/>
    <w:rsid w:val="0087359e"/>
    <w:pPr>
      <w:suppressLineNumbers/>
    </w:pPr>
    <w:rPr/>
  </w:style>
  <w:style w:type="paragraph" w:styleId="ParaKWN" w:customStyle="1">
    <w:name w:val="ParaKWN"/>
    <w:basedOn w:val="Normal"/>
    <w:qFormat/>
    <w:rsid w:val="0087359e"/>
    <w:pPr>
      <w:keepNext w:val="true"/>
    </w:pPr>
    <w:rPr/>
  </w:style>
  <w:style w:type="paragraph" w:styleId="PodPageBreakBefore" w:customStyle="1">
    <w:name w:val="podPageBreakBefore"/>
    <w:qFormat/>
    <w:rsid w:val="0087359e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87359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87359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87359e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87359e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87359e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87359e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87359e"/>
    <w:pPr>
      <w:suppressLineNumbers/>
    </w:pPr>
    <w:rPr/>
  </w:style>
  <w:style w:type="paragraph" w:styleId="Tableheading" w:customStyle="1">
    <w:name w:val="Table heading"/>
    <w:basedOn w:val="Tablecell"/>
    <w:qFormat/>
    <w:rsid w:val="0087359e"/>
    <w:pPr/>
    <w:rPr>
      <w:b/>
      <w:bCs/>
    </w:rPr>
  </w:style>
  <w:style w:type="paragraph" w:styleId="PodTablePara" w:customStyle="1">
    <w:name w:val="podTablePara"/>
    <w:basedOn w:val="Tablecell"/>
    <w:qFormat/>
    <w:rsid w:val="0087359e"/>
    <w:pPr/>
    <w:rPr>
      <w:sz w:val="16"/>
    </w:rPr>
  </w:style>
  <w:style w:type="paragraph" w:styleId="PodTableParaBold" w:customStyle="1">
    <w:name w:val="podTableParaBold"/>
    <w:basedOn w:val="Tablecell"/>
    <w:qFormat/>
    <w:rsid w:val="0087359e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87359e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87359e"/>
    <w:pPr>
      <w:jc w:val="right"/>
    </w:pPr>
    <w:rPr>
      <w:b/>
      <w:bCs/>
      <w:sz w:val="16"/>
    </w:rPr>
  </w:style>
  <w:style w:type="paragraph" w:styleId="Style15" w:customStyle="1">
    <w:name w:val="Содержимое таблицы"/>
    <w:basedOn w:val="Normal"/>
    <w:qFormat/>
    <w:rsid w:val="0087359e"/>
    <w:pPr>
      <w:suppressLineNumbers/>
    </w:pPr>
    <w:rPr/>
  </w:style>
  <w:style w:type="paragraph" w:styleId="Style16" w:customStyle="1">
    <w:name w:val="обычный приложения"/>
    <w:basedOn w:val="Normal"/>
    <w:qFormat/>
    <w:rsid w:val="0087359e"/>
    <w:pPr>
      <w:jc w:val="center"/>
    </w:pPr>
    <w:rPr>
      <w:rFonts w:ascii="Times New Roman" w:hAnsi="Times New Roman" w:eastAsia="Calibri"/>
      <w:b/>
    </w:rPr>
  </w:style>
  <w:style w:type="paragraph" w:styleId="Style17" w:customStyle="1">
    <w:name w:val="Заголовок таблицы"/>
    <w:basedOn w:val="Style15"/>
    <w:qFormat/>
    <w:rsid w:val="0087359e"/>
    <w:pPr>
      <w:jc w:val="center"/>
    </w:pPr>
    <w:rPr>
      <w:b/>
      <w:bCs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961259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87359e"/>
  </w:style>
  <w:style w:type="numbering" w:styleId="PodNumberedList" w:customStyle="1">
    <w:name w:val="podNumberedList"/>
    <w:qFormat/>
    <w:rsid w:val="0087359e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Application>LibreOffice/7.5.7.1$Windows_X86_64 LibreOffice_project/47eb0cf7efbacdee9b19ae25d6752381ede23126</Application>
  <AppVersion>15.0000</AppVersion>
  <Pages>2</Pages>
  <Words>289</Words>
  <Characters>2434</Characters>
  <CharactersWithSpaces>3366</CharactersWithSpaces>
  <Paragraphs>34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2023-09-05T16:10:00Z</dcterms:created>
  <dc:creator/>
  <dc:description/>
  <dc:language>en-US</dc:language>
  <cp:lastModifiedBy/>
  <cp:lastPrinted>2025-05-05T12:59:00Z</cp:lastPrinted>
  <dcterms:modified xsi:type="dcterms:W3CDTF">2025-07-08T17:22:03Z</dcterms:modified>
  <cp:revision>134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