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1475"/>
        <w:gridCol w:w="5567"/>
      </w:tblGrid>
      <w:tr w:rsidR="0014432C">
        <w:trPr>
          <w:trHeight w:val="3772"/>
        </w:trPr>
        <w:tc>
          <w:tcPr>
            <w:tcW w:w="2839" w:type="dxa"/>
          </w:tcPr>
          <w:p w:rsidR="0014432C" w:rsidRDefault="0014432C">
            <w:pPr>
              <w:pStyle w:val="a7"/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Mar>
              <w:left w:w="10" w:type="dxa"/>
              <w:right w:w="10" w:type="dxa"/>
            </w:tcMar>
          </w:tcPr>
          <w:p w:rsidR="0014432C" w:rsidRDefault="0014432C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55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4432C" w:rsidRDefault="008E402B">
            <w:pPr>
              <w:widowControl w:val="0"/>
              <w:jc w:val="both"/>
              <w:rPr>
                <w:rFonts w:ascii="Times New Roman" w:eastAsia="Microsoft YaHei" w:hAnsi="Times New Roman"/>
                <w:sz w:val="28"/>
                <w:szCs w:val="28"/>
              </w:rPr>
            </w:pPr>
            <w:r>
              <w:rPr>
                <w:rFonts w:ascii="Times New Roman" w:eastAsia="Microsoft YaHei" w:hAnsi="Times New Roman"/>
                <w:sz w:val="28"/>
                <w:szCs w:val="28"/>
              </w:rPr>
              <w:t>Приложение 7</w:t>
            </w:r>
          </w:p>
          <w:p w:rsidR="0014432C" w:rsidRDefault="008E402B">
            <w:pPr>
              <w:pStyle w:val="a3"/>
              <w:widowControl w:val="0"/>
              <w:spacing w:before="0"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      </w:r>
            <w:r>
              <w:rPr>
                <w:rFonts w:ascii="Times New Roman" w:hAnsi="Times New Roman"/>
              </w:rPr>
              <w:t xml:space="preserve">дминистрации городского округа Фрязино </w:t>
            </w:r>
          </w:p>
          <w:p w:rsidR="0014432C" w:rsidRDefault="008E402B" w:rsidP="008E402B">
            <w:pPr>
              <w:widowControl w:val="0"/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Microsoft YaHei" w:hAnsi="Times New Roman"/>
                <w:sz w:val="28"/>
                <w:szCs w:val="28"/>
              </w:rPr>
              <w:t xml:space="preserve">от 24.03.2025 </w:t>
            </w:r>
            <w:r>
              <w:rPr>
                <w:rFonts w:ascii="Times New Roman" w:eastAsia="Microsoft YaHei" w:hAnsi="Times New Roman"/>
                <w:sz w:val="28"/>
                <w:szCs w:val="28"/>
              </w:rPr>
              <w:t>№ 262</w:t>
            </w:r>
            <w:bookmarkStart w:id="0" w:name="_GoBack"/>
            <w:bookmarkEnd w:id="0"/>
          </w:p>
        </w:tc>
      </w:tr>
    </w:tbl>
    <w:p w:rsidR="0014432C" w:rsidRDefault="0014432C"/>
    <w:p w:rsidR="0014432C" w:rsidRDefault="0014432C"/>
    <w:p w:rsidR="0014432C" w:rsidRDefault="0014432C">
      <w:pPr>
        <w:sectPr w:rsidR="0014432C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14432C" w:rsidRDefault="008E402B">
      <w:pPr>
        <w:pStyle w:val="12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 xml:space="preserve">категории заявителей, а также комбинации признаков </w:t>
      </w:r>
      <w:proofErr w:type="gramStart"/>
      <w:r>
        <w:rPr>
          <w:rFonts w:ascii="Times New Roman" w:hAnsi="Times New Roman"/>
          <w:sz w:val="28"/>
          <w:szCs w:val="28"/>
        </w:rPr>
        <w:t>заявителей,</w:t>
      </w:r>
      <w:r>
        <w:rPr>
          <w:rFonts w:ascii="Times New Roman" w:hAnsi="Times New Roman"/>
          <w:sz w:val="28"/>
          <w:szCs w:val="28"/>
        </w:rPr>
        <w:br/>
        <w:t>каждая</w:t>
      </w:r>
      <w:proofErr w:type="gramEnd"/>
      <w:r>
        <w:rPr>
          <w:rFonts w:ascii="Times New Roman" w:hAnsi="Times New Roman"/>
          <w:sz w:val="28"/>
          <w:szCs w:val="28"/>
        </w:rPr>
        <w:t xml:space="preserve"> из которых соответствует одному варианту предоставле</w:t>
      </w:r>
      <w:r>
        <w:rPr>
          <w:rFonts w:ascii="Times New Roman" w:hAnsi="Times New Roman"/>
          <w:sz w:val="28"/>
          <w:szCs w:val="28"/>
        </w:rPr>
        <w:t>ния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Московской области»</w:t>
      </w:r>
    </w:p>
    <w:p w:rsidR="0014432C" w:rsidRDefault="0014432C">
      <w:pPr>
        <w:sectPr w:rsidR="001443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14432C" w:rsidRDefault="0014432C">
      <w:pPr>
        <w:pStyle w:val="12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4432C" w:rsidRDefault="008E402B">
      <w:pPr>
        <w:pStyle w:val="12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Общие признаки, по которым объединяются категории </w:t>
      </w:r>
      <w:r>
        <w:rPr>
          <w:rFonts w:ascii="Times New Roman" w:hAnsi="Times New Roman"/>
          <w:sz w:val="28"/>
          <w:szCs w:val="28"/>
        </w:rPr>
        <w:t>заявителей</w:t>
      </w:r>
    </w:p>
    <w:tbl>
      <w:tblPr>
        <w:tblW w:w="992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20"/>
        <w:gridCol w:w="4874"/>
      </w:tblGrid>
      <w:tr w:rsidR="0014432C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14432C">
            <w:pPr>
              <w:pStyle w:val="a7"/>
              <w:widowControl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14432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Имеющие намерение разместить сезонный элемент благоустройства при мобильных пунктах быстрого питания</w:t>
            </w:r>
          </w:p>
        </w:tc>
      </w:tr>
      <w:tr w:rsidR="0014432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Имеющие намерение разместить сезонный элемент благоустройства </w:t>
            </w:r>
            <w:r>
              <w:rPr>
                <w:rFonts w:ascii="Times New Roman" w:hAnsi="Times New Roman"/>
                <w:sz w:val="28"/>
                <w:szCs w:val="28"/>
              </w:rPr>
              <w:t>при мобильных пунктах быстрого питания</w:t>
            </w:r>
          </w:p>
        </w:tc>
      </w:tr>
      <w:tr w:rsidR="0014432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юридические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Относящиеся к субъектам МСП, в том числе являющиеся сельскохозяйственными производителями, обратившиеся за Услугой</w:t>
            </w:r>
          </w:p>
        </w:tc>
      </w:tr>
      <w:tr w:rsidR="0014432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юридические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лица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Имеющие намерение разместить нестационарный торговый объект</w:t>
            </w:r>
          </w:p>
        </w:tc>
      </w:tr>
    </w:tbl>
    <w:p w:rsidR="0014432C" w:rsidRDefault="0014432C">
      <w:pPr>
        <w:pStyle w:val="12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14432C" w:rsidRDefault="0014432C">
      <w:pPr>
        <w:sectPr w:rsidR="0014432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14432C" w:rsidRDefault="008E402B">
      <w:pPr>
        <w:pStyle w:val="12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Комбинации признаков </w:t>
      </w:r>
      <w:proofErr w:type="gramStart"/>
      <w:r>
        <w:rPr>
          <w:rFonts w:ascii="Times New Roman" w:hAnsi="Times New Roman"/>
          <w:sz w:val="28"/>
          <w:szCs w:val="28"/>
        </w:rPr>
        <w:t>заявителей,</w:t>
      </w:r>
      <w:r>
        <w:rPr>
          <w:rFonts w:ascii="Times New Roman" w:hAnsi="Times New Roman"/>
          <w:sz w:val="28"/>
          <w:szCs w:val="28"/>
        </w:rPr>
        <w:br/>
        <w:t>каждая</w:t>
      </w:r>
      <w:proofErr w:type="gramEnd"/>
      <w:r>
        <w:rPr>
          <w:rFonts w:ascii="Times New Roman" w:hAnsi="Times New Roman"/>
          <w:sz w:val="28"/>
          <w:szCs w:val="28"/>
        </w:rPr>
        <w:t xml:space="preserve">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69"/>
        <w:gridCol w:w="4844"/>
      </w:tblGrid>
      <w:tr w:rsidR="0014432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5"/>
              <w:widowControl w:val="0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предприниматели: имеющие намерение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разместить сезонный элемент благоустройства при мобильных пунктах быстрого питания,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12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Вариант предоставления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услуги, указанный в подпункте 17.1.1 пункта 17.1 Регламента</w:t>
            </w:r>
          </w:p>
        </w:tc>
      </w:tr>
      <w:tr w:rsidR="0014432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5"/>
              <w:widowControl w:val="0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лица:  имеющие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мерение разместить сезонный элемент благоустройства при мобильных пунктах быстрого питания,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12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17.1.2 пункта 17.1 Регламента</w:t>
            </w:r>
          </w:p>
        </w:tc>
      </w:tr>
      <w:tr w:rsidR="0014432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5"/>
              <w:widowControl w:val="0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предприниматели:  относящиеся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субъектам МСП, в том числе являющиеся сельскохозяйственными производителями, обратившиеся за Услугой,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12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предоставления муниципальной услуги, указанный в подпункте 17.1.3 пункта </w:t>
            </w:r>
            <w:r>
              <w:rPr>
                <w:rFonts w:ascii="Times New Roman" w:hAnsi="Times New Roman"/>
                <w:sz w:val="28"/>
                <w:szCs w:val="28"/>
              </w:rPr>
              <w:t>17.1 Регламента</w:t>
            </w:r>
          </w:p>
        </w:tc>
      </w:tr>
      <w:tr w:rsidR="0014432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5"/>
              <w:widowControl w:val="0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лица:  относящиеся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 субъектам МСП, в том числе являющиеся сельскохозяйственными производителями, обратившиеся за Услугой,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12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</w:t>
            </w:r>
            <w:r>
              <w:rPr>
                <w:rFonts w:ascii="Times New Roman" w:hAnsi="Times New Roman"/>
                <w:sz w:val="28"/>
                <w:szCs w:val="28"/>
              </w:rPr>
              <w:t>пункте 17.1.4 пункта 17.1 Регламента</w:t>
            </w:r>
          </w:p>
        </w:tc>
      </w:tr>
      <w:tr w:rsidR="0014432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5"/>
              <w:widowControl w:val="0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предприниматели:  имеющие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намерение разместить нестационарный торговый объект,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12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17.1.5 пункта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17.1 Регламента</w:t>
            </w:r>
          </w:p>
        </w:tc>
      </w:tr>
      <w:tr w:rsidR="0014432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7"/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4432C" w:rsidRDefault="008E402B">
            <w:pPr>
              <w:pStyle w:val="a5"/>
              <w:widowControl w:val="0"/>
              <w:tabs>
                <w:tab w:val="left" w:pos="645"/>
              </w:tabs>
              <w:spacing w:after="0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лица:  имеющие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намерение разместить нестационарный торговый объект, включая их уполномоченных представителей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4432C" w:rsidRDefault="008E402B">
            <w:pPr>
              <w:pStyle w:val="12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 предоставления муниципальной услуги, указанный в подпункте 17.1.6 пункта 17.1 Регламента</w:t>
            </w:r>
          </w:p>
        </w:tc>
      </w:tr>
    </w:tbl>
    <w:p w:rsidR="0014432C" w:rsidRDefault="0014432C">
      <w:pPr>
        <w:rPr>
          <w:sz w:val="4"/>
          <w:szCs w:val="4"/>
        </w:rPr>
      </w:pPr>
    </w:p>
    <w:sectPr w:rsidR="0014432C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D793D"/>
    <w:multiLevelType w:val="multilevel"/>
    <w:tmpl w:val="E26E5B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917782"/>
    <w:multiLevelType w:val="multilevel"/>
    <w:tmpl w:val="305CA45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88B2271"/>
    <w:multiLevelType w:val="multilevel"/>
    <w:tmpl w:val="E3DE411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BD00B70"/>
    <w:multiLevelType w:val="multilevel"/>
    <w:tmpl w:val="D17886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14432C"/>
    <w:rsid w:val="0014432C"/>
    <w:rsid w:val="008E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852FBD-F5F6-495C-88B6-C13AF640D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3"/>
    <w:next w:val="a"/>
    <w:qFormat/>
    <w:rsid w:val="0083668F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a3"/>
    <w:next w:val="a"/>
    <w:qFormat/>
    <w:rsid w:val="0083668F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next w:val="a"/>
    <w:qFormat/>
    <w:rsid w:val="0083668F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a3"/>
    <w:next w:val="a"/>
    <w:qFormat/>
    <w:rsid w:val="0083668F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a3"/>
    <w:next w:val="a"/>
    <w:qFormat/>
    <w:rsid w:val="0083668F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a3"/>
    <w:next w:val="a"/>
    <w:qFormat/>
    <w:rsid w:val="0083668F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83668F"/>
  </w:style>
  <w:style w:type="character" w:customStyle="1" w:styleId="PODBulletSymbols">
    <w:name w:val="POD Bullet Symbols"/>
    <w:qFormat/>
    <w:rsid w:val="0083668F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83668F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4">
    <w:name w:val="обычный приложения Знак"/>
    <w:basedOn w:val="a0"/>
    <w:qFormat/>
    <w:rsid w:val="0083668F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83668F"/>
    <w:rPr>
      <w:rFonts w:ascii="Times New Roman" w:eastAsia="Calibri" w:hAnsi="Times New Roman"/>
      <w:b/>
      <w:sz w:val="24"/>
      <w:szCs w:val="24"/>
    </w:rPr>
  </w:style>
  <w:style w:type="paragraph" w:customStyle="1" w:styleId="a3">
    <w:name w:val="Заголовок"/>
    <w:basedOn w:val="a"/>
    <w:next w:val="a5"/>
    <w:qFormat/>
    <w:rsid w:val="0083668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83668F"/>
    <w:pPr>
      <w:spacing w:after="140" w:line="276" w:lineRule="auto"/>
    </w:pPr>
  </w:style>
  <w:style w:type="paragraph" w:styleId="a6">
    <w:name w:val="List"/>
    <w:basedOn w:val="a5"/>
    <w:rsid w:val="0083668F"/>
  </w:style>
  <w:style w:type="paragraph" w:customStyle="1" w:styleId="1">
    <w:name w:val="Название объекта1"/>
    <w:basedOn w:val="a"/>
    <w:qFormat/>
    <w:rsid w:val="0083668F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qFormat/>
    <w:rsid w:val="0083668F"/>
    <w:pPr>
      <w:suppressLineNumbers/>
    </w:pPr>
  </w:style>
  <w:style w:type="paragraph" w:customStyle="1" w:styleId="ParaKWN">
    <w:name w:val="ParaKWN"/>
    <w:basedOn w:val="a"/>
    <w:qFormat/>
    <w:rsid w:val="0083668F"/>
    <w:pPr>
      <w:keepNext/>
    </w:pPr>
  </w:style>
  <w:style w:type="paragraph" w:customStyle="1" w:styleId="podPageBreakBefore">
    <w:name w:val="podPageBreakBefore"/>
    <w:qFormat/>
    <w:rsid w:val="0083668F"/>
    <w:pPr>
      <w:pageBreakBefore/>
    </w:pPr>
    <w:rPr>
      <w:sz w:val="4"/>
    </w:rPr>
  </w:style>
  <w:style w:type="paragraph" w:customStyle="1" w:styleId="podPageBreakAfter">
    <w:name w:val="podPageBreakAfter"/>
    <w:qFormat/>
    <w:rsid w:val="0083668F"/>
    <w:rPr>
      <w:sz w:val="4"/>
    </w:rPr>
  </w:style>
  <w:style w:type="paragraph" w:customStyle="1" w:styleId="podColumnBreak">
    <w:name w:val="podColumnBreak"/>
    <w:qFormat/>
    <w:rsid w:val="0083668F"/>
  </w:style>
  <w:style w:type="paragraph" w:customStyle="1" w:styleId="podBulletItem">
    <w:name w:val="podBulletItem"/>
    <w:basedOn w:val="a"/>
    <w:qFormat/>
    <w:rsid w:val="0083668F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83668F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83668F"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83668F"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rsid w:val="0083668F"/>
    <w:pPr>
      <w:suppressLineNumbers/>
    </w:pPr>
  </w:style>
  <w:style w:type="paragraph" w:customStyle="1" w:styleId="Tableheading">
    <w:name w:val="Table heading"/>
    <w:basedOn w:val="Tablecell"/>
    <w:qFormat/>
    <w:rsid w:val="0083668F"/>
    <w:rPr>
      <w:b/>
      <w:bCs/>
    </w:rPr>
  </w:style>
  <w:style w:type="paragraph" w:customStyle="1" w:styleId="podTablePara">
    <w:name w:val="podTablePara"/>
    <w:basedOn w:val="Tablecell"/>
    <w:qFormat/>
    <w:rsid w:val="0083668F"/>
    <w:rPr>
      <w:sz w:val="16"/>
    </w:rPr>
  </w:style>
  <w:style w:type="paragraph" w:customStyle="1" w:styleId="podTableParaBold">
    <w:name w:val="podTableParaBold"/>
    <w:basedOn w:val="Tablecell"/>
    <w:qFormat/>
    <w:rsid w:val="0083668F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83668F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83668F"/>
    <w:pPr>
      <w:jc w:val="right"/>
    </w:pPr>
    <w:rPr>
      <w:b/>
      <w:bCs/>
      <w:sz w:val="16"/>
    </w:rPr>
  </w:style>
  <w:style w:type="paragraph" w:customStyle="1" w:styleId="a7">
    <w:name w:val="Содержимое таблицы"/>
    <w:basedOn w:val="a"/>
    <w:qFormat/>
    <w:rsid w:val="0083668F"/>
    <w:pPr>
      <w:suppressLineNumbers/>
    </w:pPr>
  </w:style>
  <w:style w:type="paragraph" w:customStyle="1" w:styleId="a8">
    <w:name w:val="обычный приложения"/>
    <w:basedOn w:val="a"/>
    <w:qFormat/>
    <w:rsid w:val="0083668F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8"/>
    <w:qFormat/>
    <w:rsid w:val="0083668F"/>
  </w:style>
  <w:style w:type="paragraph" w:customStyle="1" w:styleId="2-">
    <w:name w:val="Рег. Заголовок 2-го уровня регламента"/>
    <w:basedOn w:val="a"/>
    <w:qFormat/>
    <w:rsid w:val="0083668F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2">
    <w:name w:val="Текст сноски1"/>
    <w:basedOn w:val="a"/>
    <w:rsid w:val="0083668F"/>
    <w:pPr>
      <w:suppressLineNumbers/>
      <w:ind w:left="340" w:hanging="340"/>
    </w:pPr>
    <w:rPr>
      <w:sz w:val="20"/>
      <w:szCs w:val="20"/>
    </w:rPr>
  </w:style>
  <w:style w:type="paragraph" w:customStyle="1" w:styleId="a9">
    <w:name w:val="Заголовок таблицы"/>
    <w:basedOn w:val="a7"/>
    <w:qFormat/>
    <w:rsid w:val="0083668F"/>
    <w:pPr>
      <w:jc w:val="center"/>
    </w:pPr>
    <w:rPr>
      <w:b/>
      <w:bCs/>
    </w:rPr>
  </w:style>
  <w:style w:type="numbering" w:customStyle="1" w:styleId="podBulletedList">
    <w:name w:val="podBulletedList"/>
    <w:qFormat/>
    <w:rsid w:val="0083668F"/>
  </w:style>
  <w:style w:type="numbering" w:customStyle="1" w:styleId="podNumberedList">
    <w:name w:val="podNumberedList"/>
    <w:qFormat/>
    <w:rsid w:val="008366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6598</TotalTime>
  <Pages>1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103</cp:revision>
  <cp:lastPrinted>2024-12-20T15:52:00Z</cp:lastPrinted>
  <dcterms:created xsi:type="dcterms:W3CDTF">2023-05-12T14:59:00Z</dcterms:created>
  <dcterms:modified xsi:type="dcterms:W3CDTF">2025-03-24T12:13:00Z</dcterms:modified>
  <dc:language>en-US</dc:language>
</cp:coreProperties>
</file>