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3843" w:rsidRDefault="00E4325C" w:rsidP="00E43843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843">
        <w:rPr>
          <w:sz w:val="30"/>
          <w:szCs w:val="30"/>
        </w:rPr>
        <w:t>АДМИНИСТРАЦИЯ ГОРОДСКОГО ОКРУГА ФРЯЗИНО</w:t>
      </w:r>
    </w:p>
    <w:p w:rsidR="00E43843" w:rsidRDefault="00E43843" w:rsidP="00E43843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E43843" w:rsidRDefault="00E43843" w:rsidP="00E43843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26385E" w:rsidRDefault="00E43843" w:rsidP="00E43843">
      <w:pPr>
        <w:spacing w:before="60"/>
        <w:ind w:left="1842" w:firstLine="608"/>
        <w:rPr>
          <w:sz w:val="28"/>
        </w:rPr>
      </w:pPr>
      <w:r>
        <w:rPr>
          <w:b/>
          <w:bCs/>
          <w:sz w:val="28"/>
          <w:szCs w:val="28"/>
        </w:rPr>
        <w:t xml:space="preserve">                     от</w:t>
      </w:r>
      <w:r>
        <w:rPr>
          <w:sz w:val="28"/>
          <w:szCs w:val="28"/>
        </w:rPr>
        <w:t xml:space="preserve"> </w:t>
      </w:r>
      <w:r w:rsidR="001E3BD8">
        <w:rPr>
          <w:sz w:val="28"/>
          <w:szCs w:val="28"/>
        </w:rPr>
        <w:t>05.12.2024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E3BD8">
        <w:rPr>
          <w:sz w:val="28"/>
          <w:szCs w:val="28"/>
        </w:rPr>
        <w:t>1225</w:t>
      </w:r>
    </w:p>
    <w:p w:rsidR="0026385E" w:rsidRDefault="0026385E">
      <w:pPr>
        <w:ind w:right="4819"/>
        <w:jc w:val="both"/>
        <w:rPr>
          <w:sz w:val="28"/>
        </w:rPr>
      </w:pPr>
    </w:p>
    <w:p w:rsidR="0026385E" w:rsidRDefault="0026385E">
      <w:pPr>
        <w:ind w:right="4819"/>
        <w:jc w:val="both"/>
        <w:rPr>
          <w:sz w:val="28"/>
        </w:rPr>
      </w:pPr>
    </w:p>
    <w:p w:rsidR="0026385E" w:rsidRDefault="0026385E">
      <w:pPr>
        <w:ind w:right="4819"/>
        <w:jc w:val="both"/>
        <w:rPr>
          <w:sz w:val="28"/>
        </w:rPr>
      </w:pPr>
    </w:p>
    <w:p w:rsidR="0026385E" w:rsidRDefault="0026385E" w:rsidP="00E43843">
      <w:pPr>
        <w:ind w:right="4819"/>
        <w:jc w:val="both"/>
        <w:rPr>
          <w:spacing w:val="-4"/>
          <w:sz w:val="28"/>
          <w:szCs w:val="28"/>
        </w:rPr>
      </w:pPr>
      <w:r>
        <w:rPr>
          <w:sz w:val="28"/>
        </w:rPr>
        <w:t>Об утверждении Порядка отнесения муниципальных образовательных организаций городского округа Фрязино Московской области к группам по оплате труда руководителей</w:t>
      </w:r>
    </w:p>
    <w:p w:rsidR="0026385E" w:rsidRDefault="0026385E">
      <w:pPr>
        <w:spacing w:line="340" w:lineRule="exact"/>
        <w:ind w:firstLine="709"/>
        <w:jc w:val="both"/>
        <w:rPr>
          <w:spacing w:val="-4"/>
          <w:sz w:val="28"/>
          <w:szCs w:val="28"/>
        </w:rPr>
      </w:pPr>
    </w:p>
    <w:p w:rsidR="0026385E" w:rsidRDefault="0026385E">
      <w:pPr>
        <w:spacing w:line="340" w:lineRule="exact"/>
        <w:ind w:firstLine="709"/>
        <w:jc w:val="both"/>
        <w:rPr>
          <w:spacing w:val="-4"/>
          <w:sz w:val="28"/>
          <w:szCs w:val="28"/>
        </w:rPr>
      </w:pPr>
    </w:p>
    <w:p w:rsidR="0026385E" w:rsidRDefault="0026385E">
      <w:pPr>
        <w:tabs>
          <w:tab w:val="left" w:pos="2025"/>
        </w:tabs>
        <w:ind w:firstLine="851"/>
        <w:contextualSpacing/>
        <w:jc w:val="both"/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27.12.2013 № 1186/58 «</w:t>
      </w:r>
      <w:r>
        <w:rPr>
          <w:bCs/>
          <w:sz w:val="28"/>
          <w:szCs w:val="28"/>
        </w:rPr>
        <w:t xml:space="preserve">Об оплате труда работников государственных образовательных организаций Московской области», </w:t>
      </w:r>
      <w:r>
        <w:rPr>
          <w:sz w:val="28"/>
          <w:szCs w:val="28"/>
          <w:shd w:val="clear" w:color="auto" w:fill="FFFFFF"/>
        </w:rPr>
        <w:t>распоряжением Комитета по труду и занятости населения Московской области от 14.10.2011 № 37-р «Об утверждении Порядка отнесения государственных образовательных учреждений Московской области к группам по оплате труда руководителей»</w:t>
      </w:r>
      <w:r>
        <w:rPr>
          <w:sz w:val="28"/>
          <w:szCs w:val="28"/>
        </w:rPr>
        <w:t xml:space="preserve">, руководствуясь Уставом городского округа Фрязино Московской области, </w:t>
      </w:r>
    </w:p>
    <w:p w:rsidR="0026385E" w:rsidRDefault="0026385E">
      <w:pPr>
        <w:tabs>
          <w:tab w:val="left" w:pos="2025"/>
        </w:tabs>
        <w:ind w:firstLine="851"/>
        <w:contextualSpacing/>
        <w:jc w:val="both"/>
      </w:pPr>
    </w:p>
    <w:p w:rsidR="0026385E" w:rsidRDefault="0026385E">
      <w:pPr>
        <w:jc w:val="center"/>
      </w:pPr>
      <w:r>
        <w:rPr>
          <w:b/>
          <w:bCs/>
          <w:spacing w:val="100"/>
          <w:sz w:val="28"/>
          <w:szCs w:val="28"/>
        </w:rPr>
        <w:t>постановляю:</w:t>
      </w:r>
    </w:p>
    <w:p w:rsidR="0026385E" w:rsidRDefault="0026385E">
      <w:pPr>
        <w:jc w:val="center"/>
        <w:rPr>
          <w:b/>
          <w:bCs/>
          <w:spacing w:val="100"/>
          <w:sz w:val="28"/>
          <w:szCs w:val="28"/>
        </w:rPr>
      </w:pPr>
    </w:p>
    <w:p w:rsidR="0026385E" w:rsidRDefault="0026385E">
      <w:pPr>
        <w:pStyle w:val="ConsPlusNormal"/>
        <w:numPr>
          <w:ilvl w:val="0"/>
          <w:numId w:val="2"/>
        </w:numPr>
        <w:tabs>
          <w:tab w:val="right" w:pos="993"/>
        </w:tabs>
        <w:autoSpaceDE/>
        <w:ind w:left="0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Порядок отнесения муниципальных образовательных организаций городского округа Фрязино Московской области к группам по оплате труда руководителей (прилагается).</w:t>
      </w:r>
    </w:p>
    <w:p w:rsidR="0026385E" w:rsidRDefault="0026385E">
      <w:pPr>
        <w:widowControl w:val="0"/>
        <w:tabs>
          <w:tab w:val="left" w:pos="1134"/>
          <w:tab w:val="left" w:pos="1418"/>
        </w:tabs>
        <w:ind w:firstLine="850"/>
        <w:jc w:val="both"/>
      </w:pPr>
      <w:r>
        <w:rPr>
          <w:sz w:val="28"/>
          <w:szCs w:val="28"/>
        </w:rPr>
        <w:t>2. Признать утратившими силу:</w:t>
      </w:r>
    </w:p>
    <w:p w:rsidR="0026385E" w:rsidRDefault="0026385E">
      <w:pPr>
        <w:widowControl w:val="0"/>
        <w:tabs>
          <w:tab w:val="left" w:pos="1134"/>
          <w:tab w:val="left" w:pos="1418"/>
        </w:tabs>
        <w:ind w:firstLine="850"/>
        <w:jc w:val="both"/>
      </w:pP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остановление Главы города Фрязино от 31.08.2007 № 610 «О показателях и порядке отнесения муниципальных учреждений города Фрязино Московской области к группам по оплате труда руководителей»;</w:t>
      </w:r>
    </w:p>
    <w:p w:rsidR="0026385E" w:rsidRDefault="0026385E">
      <w:pPr>
        <w:ind w:firstLine="850"/>
        <w:jc w:val="both"/>
      </w:pPr>
      <w:r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остановление Главы города Фрязино от 11.08.2008 № 588 «О внесении изменений в постановление Главы города от 31.08.2007 № 610 </w:t>
      </w:r>
      <w:r>
        <w:rPr>
          <w:sz w:val="28"/>
        </w:rPr>
        <w:t xml:space="preserve">«О Показателях и Порядке отнесения муниципальных учреждений города Фрязино Московской области к группам </w:t>
      </w:r>
      <w:r>
        <w:rPr>
          <w:sz w:val="28"/>
          <w:szCs w:val="28"/>
        </w:rPr>
        <w:t>по оплате труда руководителей»;</w:t>
      </w:r>
    </w:p>
    <w:p w:rsidR="0026385E" w:rsidRDefault="0026385E">
      <w:pPr>
        <w:ind w:firstLine="850"/>
        <w:jc w:val="both"/>
      </w:pPr>
      <w:r>
        <w:rPr>
          <w:bCs/>
          <w:sz w:val="28"/>
          <w:szCs w:val="28"/>
        </w:rPr>
        <w:t>п</w:t>
      </w:r>
      <w:r>
        <w:rPr>
          <w:sz w:val="28"/>
          <w:szCs w:val="28"/>
        </w:rPr>
        <w:t>остановление Главы города Фрязино от 13.11.2008 № 819 «О внесении изменений в постановление Главы города от 31.08.2007 № 610 «О Показателях и Порядке отнесения муниципальных учреждений города Фрязино Московской области к группам по оплате труда руководителей».</w:t>
      </w:r>
    </w:p>
    <w:p w:rsidR="0026385E" w:rsidRDefault="0026385E">
      <w:pPr>
        <w:ind w:firstLine="850"/>
        <w:jc w:val="both"/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Опубликовать настоящее постановление на официальном сайте органов местного самоуправления муниципального образования городской </w:t>
      </w:r>
      <w:r>
        <w:rPr>
          <w:sz w:val="28"/>
          <w:szCs w:val="28"/>
        </w:rPr>
        <w:lastRenderedPageBreak/>
        <w:t>округ Фрязино Московской области в информационно-телекоммуникационной сети Интернет.</w:t>
      </w:r>
    </w:p>
    <w:p w:rsidR="0026385E" w:rsidRDefault="0026385E">
      <w:pPr>
        <w:ind w:firstLine="850"/>
        <w:jc w:val="both"/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Фрязино Шувалову Ю.М.</w:t>
      </w:r>
    </w:p>
    <w:p w:rsidR="0026385E" w:rsidRDefault="0026385E">
      <w:pPr>
        <w:ind w:firstLine="709"/>
        <w:jc w:val="both"/>
        <w:rPr>
          <w:sz w:val="28"/>
          <w:szCs w:val="28"/>
        </w:rPr>
      </w:pPr>
    </w:p>
    <w:p w:rsidR="0026385E" w:rsidRDefault="0026385E">
      <w:pPr>
        <w:widowControl w:val="0"/>
        <w:tabs>
          <w:tab w:val="left" w:pos="1418"/>
        </w:tabs>
        <w:spacing w:line="340" w:lineRule="exact"/>
        <w:ind w:left="709"/>
        <w:jc w:val="both"/>
        <w:rPr>
          <w:sz w:val="28"/>
          <w:szCs w:val="28"/>
        </w:rPr>
      </w:pPr>
    </w:p>
    <w:p w:rsidR="0026385E" w:rsidRDefault="0026385E"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Д.Р. Воробьев</w:t>
      </w: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E43843" w:rsidRDefault="00E43843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E43843" w:rsidRDefault="00E43843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E43843" w:rsidRDefault="00E43843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E43843" w:rsidRDefault="00E43843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E43843" w:rsidRDefault="00E43843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E43843" w:rsidRDefault="00E43843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E43843" w:rsidRDefault="00E43843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ind w:left="5670"/>
        <w:jc w:val="both"/>
        <w:rPr>
          <w:sz w:val="28"/>
          <w:szCs w:val="28"/>
        </w:rPr>
      </w:pPr>
    </w:p>
    <w:p w:rsidR="0026385E" w:rsidRDefault="0026385E">
      <w:pPr>
        <w:ind w:left="5670"/>
        <w:jc w:val="both"/>
        <w:rPr>
          <w:sz w:val="28"/>
          <w:szCs w:val="28"/>
        </w:rPr>
      </w:pPr>
    </w:p>
    <w:p w:rsidR="0026385E" w:rsidRDefault="0026385E">
      <w:pPr>
        <w:ind w:left="5670"/>
        <w:jc w:val="both"/>
        <w:rPr>
          <w:sz w:val="28"/>
          <w:szCs w:val="28"/>
        </w:rPr>
      </w:pPr>
    </w:p>
    <w:p w:rsidR="0026385E" w:rsidRDefault="0026385E">
      <w:pPr>
        <w:ind w:left="5670"/>
        <w:jc w:val="both"/>
        <w:rPr>
          <w:sz w:val="28"/>
          <w:szCs w:val="28"/>
        </w:rPr>
      </w:pPr>
    </w:p>
    <w:p w:rsidR="0026385E" w:rsidRDefault="0026385E">
      <w:pPr>
        <w:ind w:left="5670"/>
        <w:jc w:val="both"/>
        <w:rPr>
          <w:sz w:val="28"/>
          <w:szCs w:val="28"/>
        </w:rPr>
      </w:pPr>
    </w:p>
    <w:p w:rsidR="0026385E" w:rsidRDefault="0026385E">
      <w:pPr>
        <w:ind w:left="5670"/>
        <w:jc w:val="both"/>
        <w:rPr>
          <w:sz w:val="28"/>
          <w:szCs w:val="28"/>
        </w:rPr>
      </w:pPr>
    </w:p>
    <w:p w:rsidR="0026385E" w:rsidRDefault="0026385E">
      <w:pPr>
        <w:ind w:left="5670"/>
        <w:jc w:val="both"/>
        <w:rPr>
          <w:sz w:val="28"/>
          <w:szCs w:val="28"/>
        </w:rPr>
      </w:pPr>
    </w:p>
    <w:p w:rsidR="0026385E" w:rsidRDefault="0026385E">
      <w:pPr>
        <w:ind w:left="5670"/>
        <w:jc w:val="both"/>
        <w:rPr>
          <w:sz w:val="28"/>
          <w:szCs w:val="28"/>
        </w:rPr>
      </w:pPr>
    </w:p>
    <w:p w:rsidR="0026385E" w:rsidRDefault="0026385E">
      <w:pPr>
        <w:ind w:left="5670"/>
        <w:jc w:val="both"/>
        <w:rPr>
          <w:sz w:val="28"/>
          <w:szCs w:val="28"/>
        </w:rPr>
      </w:pPr>
    </w:p>
    <w:p w:rsidR="0026385E" w:rsidRDefault="0026385E">
      <w:pPr>
        <w:ind w:left="5670"/>
        <w:jc w:val="both"/>
      </w:pPr>
      <w:r>
        <w:rPr>
          <w:sz w:val="28"/>
          <w:szCs w:val="28"/>
        </w:rPr>
        <w:lastRenderedPageBreak/>
        <w:t>УТВЕРЖДЕН</w:t>
      </w:r>
    </w:p>
    <w:p w:rsidR="0026385E" w:rsidRDefault="0026385E">
      <w:pPr>
        <w:ind w:left="5670"/>
        <w:jc w:val="both"/>
      </w:pPr>
      <w:r>
        <w:rPr>
          <w:sz w:val="28"/>
          <w:szCs w:val="28"/>
        </w:rPr>
        <w:t xml:space="preserve">постановлением Администрации городского округа Фрязино </w:t>
      </w:r>
    </w:p>
    <w:p w:rsidR="0026385E" w:rsidRDefault="00E43843">
      <w:pPr>
        <w:ind w:left="5670"/>
        <w:jc w:val="both"/>
      </w:pPr>
      <w:r>
        <w:rPr>
          <w:sz w:val="28"/>
          <w:szCs w:val="28"/>
        </w:rPr>
        <w:t xml:space="preserve">от </w:t>
      </w:r>
      <w:r w:rsidR="00D0619A">
        <w:rPr>
          <w:sz w:val="28"/>
          <w:szCs w:val="28"/>
        </w:rPr>
        <w:t>05.12.2024</w:t>
      </w:r>
      <w:r w:rsidR="0026385E">
        <w:rPr>
          <w:sz w:val="28"/>
          <w:szCs w:val="28"/>
        </w:rPr>
        <w:t xml:space="preserve"> № </w:t>
      </w:r>
      <w:r w:rsidR="00D0619A">
        <w:rPr>
          <w:sz w:val="28"/>
          <w:szCs w:val="28"/>
        </w:rPr>
        <w:t>1225</w:t>
      </w: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jc w:val="center"/>
      </w:pPr>
      <w:r>
        <w:rPr>
          <w:bCs/>
          <w:sz w:val="28"/>
          <w:szCs w:val="28"/>
          <w:shd w:val="clear" w:color="auto" w:fill="FFFFFF"/>
        </w:rPr>
        <w:t xml:space="preserve">Порядок отнесения </w:t>
      </w:r>
    </w:p>
    <w:p w:rsidR="0026385E" w:rsidRDefault="0026385E">
      <w:pPr>
        <w:tabs>
          <w:tab w:val="left" w:pos="1276"/>
          <w:tab w:val="left" w:pos="3544"/>
          <w:tab w:val="right" w:pos="9639"/>
        </w:tabs>
        <w:jc w:val="center"/>
      </w:pPr>
      <w:r>
        <w:rPr>
          <w:bCs/>
          <w:sz w:val="28"/>
          <w:szCs w:val="28"/>
          <w:shd w:val="clear" w:color="auto" w:fill="FFFFFF"/>
        </w:rPr>
        <w:t xml:space="preserve">муниципальных образовательных организаций </w:t>
      </w:r>
    </w:p>
    <w:p w:rsidR="0026385E" w:rsidRDefault="0026385E">
      <w:pPr>
        <w:tabs>
          <w:tab w:val="left" w:pos="1276"/>
          <w:tab w:val="left" w:pos="3544"/>
          <w:tab w:val="right" w:pos="9639"/>
        </w:tabs>
        <w:jc w:val="center"/>
      </w:pPr>
      <w:r>
        <w:rPr>
          <w:bCs/>
          <w:sz w:val="28"/>
          <w:szCs w:val="28"/>
          <w:shd w:val="clear" w:color="auto" w:fill="FFFFFF"/>
        </w:rPr>
        <w:t xml:space="preserve">городского округа Фрязино Московской области </w:t>
      </w:r>
    </w:p>
    <w:p w:rsidR="0026385E" w:rsidRDefault="0026385E">
      <w:pPr>
        <w:tabs>
          <w:tab w:val="left" w:pos="1276"/>
          <w:tab w:val="left" w:pos="3544"/>
          <w:tab w:val="right" w:pos="9639"/>
        </w:tabs>
        <w:jc w:val="center"/>
      </w:pPr>
      <w:r>
        <w:rPr>
          <w:bCs/>
          <w:sz w:val="28"/>
          <w:szCs w:val="28"/>
          <w:shd w:val="clear" w:color="auto" w:fill="FFFFFF"/>
        </w:rPr>
        <w:t>к группам по оплате труда руководителей</w:t>
      </w: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bCs/>
          <w:sz w:val="28"/>
          <w:szCs w:val="28"/>
          <w:shd w:val="clear" w:color="auto" w:fill="FFFFFF"/>
        </w:rPr>
      </w:pPr>
    </w:p>
    <w:p w:rsidR="0026385E" w:rsidRDefault="0026385E">
      <w:pPr>
        <w:pStyle w:val="3"/>
        <w:numPr>
          <w:ilvl w:val="0"/>
          <w:numId w:val="0"/>
        </w:numPr>
        <w:shd w:val="clear" w:color="auto" w:fill="FFFFFF"/>
        <w:spacing w:before="0" w:after="240"/>
        <w:textAlignment w:val="baseline"/>
      </w:pPr>
      <w:r>
        <w:rPr>
          <w:b w:val="0"/>
          <w:sz w:val="28"/>
          <w:szCs w:val="28"/>
        </w:rPr>
        <w:t>1. Показатели деятельности муниципальных образовательных организаций городского округа Фрязино Московской области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1.1. К показателям деятельности муниципальных образовательных организаций городского округа Фрязино Московской области (далее - Показатели) относятся показатели, характеризующие масштаб руководства муниципальной образовательной организацией городского округа Фрязино Московской области (далее - организация): численность работников организации, количество обучающихся (воспитанников), сменность работы муниципальной образовательной организации, превышение плановой (проектной) наполняемости и другие Показатели, значительно осложняющие работу по руководству организацией.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1.2. Объем деятельности каждой организации при определении группы по оплате труда руководителей оценивается в баллах по следующим Показателям:</w:t>
      </w:r>
    </w:p>
    <w:tbl>
      <w:tblPr>
        <w:tblW w:w="0" w:type="auto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4620"/>
        <w:gridCol w:w="2661"/>
        <w:gridCol w:w="1699"/>
      </w:tblGrid>
      <w:tr w:rsidR="0026385E">
        <w:trPr>
          <w:trHeight w:val="23"/>
        </w:trPr>
        <w:tc>
          <w:tcPr>
            <w:tcW w:w="648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20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61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Условия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4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Количество обучающихся (воспитанников) в образовательных организациях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Из расчета за каждого обучающегося (воспитанника)</w:t>
            </w:r>
          </w:p>
          <w:p w:rsidR="0026385E" w:rsidRDefault="0026385E">
            <w:pPr>
              <w:pStyle w:val="formattext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0,3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Количество групп в дошкольных организациях</w:t>
            </w:r>
          </w:p>
          <w:p w:rsidR="0026385E" w:rsidRDefault="0026385E">
            <w:pPr>
              <w:pStyle w:val="formattext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Из расчета за группу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10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Количество обучающихся в организациях дополнительного образования детей: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- в многопрофильных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Из расчета за каждого обучающегося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0,3</w:t>
            </w:r>
            <w:r>
              <w:rPr>
                <w:sz w:val="28"/>
                <w:szCs w:val="28"/>
              </w:rPr>
              <w:br/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- в однопрофильных: клубах (центрах, станциях, базах) юных моряков, речников, пограничников, авиаторов, космонавтов, туристов, техников, натуралистов и др.; организациях дополнительного образования детей спортивной направленности; оздоровительных лагерях всех видов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Из расчета за каждого обучающегося (воспитанника, отдыхающего)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0,5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Превышение плановой (проектной) наполняемости по классам (группам) или по количеству обучающихся в общеобразовательных организациях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За каждые 50 человек или каждые 2 класса (группы)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15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Количество работников в образовательной организации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- за каждого работника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- дополнительно за каждого работника, имеющего: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первую квалификационную категорию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0,5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высшую квалификационную категорию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Наличие групп продленного дня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Из расчета за группу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20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ConsNonformat"/>
              <w:widowControl/>
              <w:autoSpaceDE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Круглосуточное пребывание обучающихся (воспитанников) в дошкольных и других образовательных организациях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Из расчета за каждого дополнительно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0,5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За каждый класс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10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  <w:p w:rsidR="0026385E" w:rsidRDefault="0026385E">
            <w:pPr>
              <w:pStyle w:val="formattext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15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Наличие собственного оборудованного здравпункта, медицинского кабинета, оздоровительно-восстановительного центра; столовой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15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Наличие:</w:t>
            </w:r>
          </w:p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- автотранспортных средств и другой самоходной учебной техники на балансе образовательной организации</w:t>
            </w:r>
          </w:p>
        </w:tc>
        <w:tc>
          <w:tcPr>
            <w:tcW w:w="26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after="0"/>
              <w:textAlignment w:val="baseline"/>
            </w:pPr>
            <w:r>
              <w:rPr>
                <w:sz w:val="28"/>
                <w:szCs w:val="28"/>
              </w:rPr>
              <w:t>За каждую единицу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after="0"/>
              <w:textAlignment w:val="baseline"/>
            </w:pPr>
            <w:r>
              <w:rPr>
                <w:sz w:val="28"/>
                <w:szCs w:val="28"/>
              </w:rPr>
              <w:t>До 3, но не более 20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napToGrid w:val="0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napToGrid w:val="0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napToGrid w:val="0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napToGrid w:val="0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napToGrid w:val="0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napToGrid w:val="0"/>
              <w:spacing w:before="0" w:after="0"/>
              <w:textAlignment w:val="baseline"/>
              <w:rPr>
                <w:sz w:val="28"/>
                <w:szCs w:val="28"/>
              </w:rPr>
            </w:pP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Наличие обучающихся (воспитанников) в общеобразовательных организациях, дошкольных образовательных организациях, посещающих бесплатные секции, кружки, студии, организованные этими организациями или на их базе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За каждого обучающегося (воспитанника)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0,5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Наличие оборудованных и используемых в дошкольных образовательных организациях помещений для разных видов активности (изостудия, театральная студия, «комната сказок», зимний сад и др.)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За каждый вид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15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Наличие в образовательных организациях (классах, группах) общего назначения обучающихся (воспитанников) со специальными потребностями, охваченных квалификационной коррекцией физического и психического развития (кроме специальных (коррекционных образовательных организаций (классов, групп) и дошкольных образовательных организаций (групп) компенсирующего вида)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За каждого обучающегося (воспитанника)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6385E" w:rsidRDefault="0026385E">
      <w:pPr>
        <w:pStyle w:val="formattext"/>
        <w:shd w:val="clear" w:color="auto" w:fill="FFFFFF"/>
        <w:spacing w:before="0" w:after="0"/>
        <w:textAlignment w:val="baseline"/>
        <w:rPr>
          <w:sz w:val="28"/>
          <w:szCs w:val="28"/>
        </w:rPr>
      </w:pP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 xml:space="preserve">1.3. Муниципальные образовательные организации относятся к I, II, III или IV группам по оплате труда руководителей по сумме баллов, определенных на </w:t>
      </w:r>
      <w:r>
        <w:rPr>
          <w:sz w:val="28"/>
          <w:szCs w:val="28"/>
        </w:rPr>
        <w:lastRenderedPageBreak/>
        <w:t>основе указанных выше Показателей деятельности, в соответствии со следующей таблицей:</w:t>
      </w:r>
    </w:p>
    <w:tbl>
      <w:tblPr>
        <w:tblW w:w="0" w:type="auto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4066"/>
        <w:gridCol w:w="1478"/>
        <w:gridCol w:w="1109"/>
        <w:gridCol w:w="1109"/>
        <w:gridCol w:w="1109"/>
      </w:tblGrid>
      <w:tr w:rsidR="0026385E">
        <w:trPr>
          <w:trHeight w:val="23"/>
        </w:trPr>
        <w:tc>
          <w:tcPr>
            <w:tcW w:w="676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66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78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Тип (вид) образовательной организации</w:t>
            </w:r>
          </w:p>
        </w:tc>
        <w:tc>
          <w:tcPr>
            <w:tcW w:w="4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Группа по оплате труда руководителей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IV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6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Общеобразовательные лицеи и гимназии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Свыше 400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400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300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jc w:val="center"/>
              <w:textAlignment w:val="baseline"/>
            </w:pPr>
            <w:r>
              <w:rPr>
                <w:sz w:val="28"/>
                <w:szCs w:val="28"/>
              </w:rPr>
              <w:t>-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Специальные (коррекционные) образовательные организации для детей с отклонениями в развитии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Свыше 350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350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250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150</w:t>
            </w:r>
          </w:p>
        </w:tc>
      </w:tr>
      <w:tr w:rsidR="0026385E">
        <w:tblPrEx>
          <w:tblCellMar>
            <w:left w:w="149" w:type="dxa"/>
            <w:right w:w="149" w:type="dxa"/>
          </w:tblCellMar>
        </w:tblPrEx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Школы и другие общеобразовательные организации; дошкольные образовательные организации; организации дополнительного образования детей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Свыше 500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500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350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85E" w:rsidRDefault="0026385E">
            <w:pPr>
              <w:pStyle w:val="formattext"/>
              <w:spacing w:before="0" w:after="0"/>
              <w:textAlignment w:val="baseline"/>
            </w:pPr>
            <w:r>
              <w:rPr>
                <w:sz w:val="28"/>
                <w:szCs w:val="28"/>
              </w:rPr>
              <w:t>До 200</w:t>
            </w:r>
          </w:p>
        </w:tc>
      </w:tr>
    </w:tbl>
    <w:p w:rsidR="0026385E" w:rsidRDefault="0026385E">
      <w:pPr>
        <w:pStyle w:val="3"/>
        <w:shd w:val="clear" w:color="auto" w:fill="FFFFFF"/>
        <w:spacing w:before="0"/>
        <w:textAlignment w:val="baseline"/>
      </w:pPr>
      <w:r>
        <w:rPr>
          <w:sz w:val="28"/>
          <w:szCs w:val="28"/>
        </w:rPr>
        <w:br/>
      </w:r>
      <w:r>
        <w:rPr>
          <w:b w:val="0"/>
          <w:sz w:val="28"/>
          <w:szCs w:val="28"/>
        </w:rPr>
        <w:t xml:space="preserve">2. Порядок отнесения организаций </w:t>
      </w:r>
    </w:p>
    <w:p w:rsidR="0026385E" w:rsidRDefault="0026385E">
      <w:pPr>
        <w:pStyle w:val="3"/>
        <w:shd w:val="clear" w:color="auto" w:fill="FFFFFF"/>
        <w:spacing w:before="0"/>
        <w:textAlignment w:val="baseline"/>
      </w:pPr>
      <w:r>
        <w:rPr>
          <w:b w:val="0"/>
          <w:sz w:val="28"/>
          <w:szCs w:val="28"/>
        </w:rPr>
        <w:t>к группам по оплате труда руководителей</w:t>
      </w:r>
    </w:p>
    <w:p w:rsidR="0026385E" w:rsidRDefault="0026385E">
      <w:pPr>
        <w:rPr>
          <w:b/>
          <w:sz w:val="16"/>
          <w:szCs w:val="16"/>
        </w:rPr>
      </w:pP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 xml:space="preserve">2.1. Группа по оплате труда руководителей определяется не чаще одного раза в год Управлением образования администрации городского округа Фрязино Московской области по подведомственным организациям в соответствии с условиями настоящего Порядка и на основании соответствующих документов, подтверждающих наличие указанных объемов работы организации. 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Группа по оплате труда для вновь открываемых организаций устанавливается исходя из плановых (проектных) показателей, но не более чем на 2 года.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2.2. При установлении группы по оплате труда руководителей контингент обучающихся (воспитанников) организаций определяется: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по общеобразовательным организациям - по списочному составу на начало учебного года;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по организациям дополнительного образования детей - по списочному составу постоянно обучающихся на 1 января. При этом в списочном составе обучающиеся в организациях дополнительного образования детей, занимающиеся в нескольких кружках, секциях, группах, учитываются 1 раз.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 xml:space="preserve">Участники экскурсионно-туристских мероприятий,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</w:t>
      </w:r>
      <w:r>
        <w:rPr>
          <w:sz w:val="28"/>
          <w:szCs w:val="28"/>
        </w:rPr>
        <w:lastRenderedPageBreak/>
        <w:t>мероприятий на количество таких мероприятий и деления суммы произведений на 365.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Например, в течение предыдущего календарного года проведено массовых и экскурсионно-туристских мероприятий: 5 - однодневных по 800 чел., 3 - однодневных по 200 чел., 10 - двухдневных по 50 чел., 3 - однодневных по 200 чел., 2 - четырехдневных по 400 чел. Среднегодовое количество участников составит:</w:t>
      </w:r>
      <w:r>
        <w:rPr>
          <w:sz w:val="28"/>
          <w:szCs w:val="28"/>
        </w:rPr>
        <w:br/>
        <w:t>[(800 x 5) + (200 x 3) + (50 x 10 x 2) + (200 x 3) + (400 x 2 x 4)] / 365 = 25,7;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в оздоровительных лагерях всех видов и наименований - по количеству принятых на отдых и оздоровление в смену (заезд).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2.3. Для определения суммы баллов за количество групп в дошкольных образовательных организациях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Пункт 1 таблицы показателей, установленной пунктом 1.2. Порядка, при установлении суммы баллов в дошкольных организациях применяется только в отношении количества детей, охваченных образовательными услугами на основе кратковременного пребывания (кроме воспитанников основного списочного состава).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2.4. За руководителями организаций,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2.5. Методические (учебно-методические) кабинеты (центры) и образовательные организации дополнительного профессионального образования (повышения квалификации) относятся к I группе по оплате труда руководителей.</w:t>
      </w:r>
    </w:p>
    <w:p w:rsidR="0026385E" w:rsidRDefault="0026385E">
      <w:pPr>
        <w:pStyle w:val="formattext"/>
        <w:shd w:val="clear" w:color="auto" w:fill="FFFFFF"/>
        <w:spacing w:before="0" w:after="0"/>
        <w:ind w:firstLine="480"/>
        <w:jc w:val="both"/>
        <w:textAlignment w:val="baseline"/>
      </w:pPr>
      <w:r>
        <w:rPr>
          <w:sz w:val="28"/>
          <w:szCs w:val="28"/>
        </w:rPr>
        <w:t>2.6. Муниципальные образовательные организации дополнительного образования детей городского округа Фрязино Московской области относятся к группам по оплате труда по показателям, установленным п. 1.2. настоящего Порядка, но не ниже II группы по оплате труда руководителей.</w:t>
      </w: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both"/>
        <w:rPr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rFonts w:cs="Arial"/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rFonts w:cs="Arial"/>
          <w:sz w:val="28"/>
          <w:szCs w:val="28"/>
        </w:rPr>
      </w:pPr>
    </w:p>
    <w:p w:rsidR="0026385E" w:rsidRDefault="0026385E">
      <w:pPr>
        <w:tabs>
          <w:tab w:val="left" w:pos="1276"/>
          <w:tab w:val="left" w:pos="3544"/>
          <w:tab w:val="right" w:pos="9639"/>
        </w:tabs>
        <w:ind w:firstLine="708"/>
        <w:jc w:val="center"/>
        <w:rPr>
          <w:rFonts w:cs="Arial"/>
          <w:sz w:val="28"/>
          <w:szCs w:val="28"/>
        </w:rPr>
      </w:pPr>
    </w:p>
    <w:sectPr w:rsidR="0026385E">
      <w:pgSz w:w="11906" w:h="16838"/>
      <w:pgMar w:top="1134" w:right="567" w:bottom="136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43"/>
    <w:rsid w:val="001E3BD8"/>
    <w:rsid w:val="0026385E"/>
    <w:rsid w:val="00D0619A"/>
    <w:rsid w:val="00E4325C"/>
    <w:rsid w:val="00E4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40275F-9EA6-4DC5-AF7A-0B24DE24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WW8Num5z2">
    <w:name w:val="WW8Num5z2"/>
    <w:rPr>
      <w:rFonts w:ascii="Times New Roman" w:hAnsi="Times New Roman" w:cs="Times New Roman"/>
      <w:b w:val="0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sz w:val="24"/>
      <w:szCs w:val="24"/>
    </w:rPr>
  </w:style>
  <w:style w:type="character" w:customStyle="1" w:styleId="WW8Num7z1">
    <w:name w:val="WW8Num7z1"/>
    <w:rPr>
      <w:rFonts w:ascii="Times New Roman" w:hAnsi="Times New Roman" w:cs="Times New Roman"/>
      <w:b/>
      <w:bCs w:val="0"/>
      <w:i w:val="0"/>
      <w:strike w:val="0"/>
      <w:dstrike w:val="0"/>
      <w:sz w:val="24"/>
      <w:szCs w:val="24"/>
      <w:u w:val="none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Calibri" w:hint="default"/>
      <w:b/>
      <w:i w:val="0"/>
    </w:rPr>
  </w:style>
  <w:style w:type="character" w:customStyle="1" w:styleId="WW8Num8z1">
    <w:name w:val="WW8Num8z1"/>
    <w:rPr>
      <w:rFonts w:eastAsia="Calibri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Без интервала Знак"/>
    <w:rPr>
      <w:rFonts w:ascii="Calibri" w:eastAsia="Calibri" w:hAnsi="Calibri" w:cs="Calibri"/>
      <w:sz w:val="22"/>
      <w:szCs w:val="22"/>
      <w:lang w:bidi="ar-SA"/>
    </w:rPr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rPr>
      <w:rFonts w:cs="Times New Roman"/>
    </w:rPr>
  </w:style>
  <w:style w:type="character" w:customStyle="1" w:styleId="11">
    <w:name w:val="Гиперссылка1"/>
    <w:rPr>
      <w:color w:val="0000FF"/>
      <w:u w:val="single"/>
    </w:rPr>
  </w:style>
  <w:style w:type="character" w:customStyle="1" w:styleId="a5">
    <w:name w:val="Текст примечания Знак"/>
    <w:rPr>
      <w:rFonts w:ascii="Calibri" w:eastAsia="Calibri" w:hAnsi="Calibri" w:cs="Calibri"/>
      <w:color w:val="00000A"/>
    </w:rPr>
  </w:style>
  <w:style w:type="paragraph" w:customStyle="1" w:styleId="a6">
    <w:name w:val="Заголовок"/>
    <w:basedOn w:val="21"/>
    <w:next w:val="a7"/>
    <w:pPr>
      <w:jc w:val="center"/>
    </w:pPr>
    <w:rPr>
      <w:b/>
      <w:bCs/>
      <w:sz w:val="56"/>
      <w:szCs w:val="56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Arial"/>
    </w:rPr>
  </w:style>
  <w:style w:type="paragraph" w:customStyle="1" w:styleId="21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Блочная цитата"/>
    <w:basedOn w:val="a"/>
    <w:pPr>
      <w:spacing w:after="283"/>
      <w:ind w:left="567" w:right="567"/>
    </w:pPr>
  </w:style>
  <w:style w:type="paragraph" w:styleId="af2">
    <w:name w:val="Subtitle"/>
    <w:basedOn w:val="2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4"/>
      <w:lang w:eastAsia="zh-CN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10">
    <w:name w:val="Рег. Основной текст уровень 1.1"/>
    <w:basedOn w:val="ConsPlusNormal"/>
    <w:pPr>
      <w:widowControl/>
      <w:suppressAutoHyphens w:val="0"/>
      <w:autoSpaceDE/>
      <w:spacing w:line="276" w:lineRule="auto"/>
      <w:ind w:firstLine="709"/>
      <w:jc w:val="both"/>
    </w:pPr>
    <w:rPr>
      <w:rFonts w:ascii="Times New Roman" w:eastAsia="Calibri" w:hAnsi="Times New Roman" w:cs="Times New Roman"/>
      <w:color w:val="00000A"/>
      <w:kern w:val="0"/>
      <w:sz w:val="28"/>
      <w:szCs w:val="28"/>
    </w:rPr>
  </w:style>
  <w:style w:type="paragraph" w:styleId="af4">
    <w:name w:val="List Paragraph"/>
    <w:basedOn w:val="a"/>
    <w:qFormat/>
    <w:pPr>
      <w:ind w:left="708"/>
    </w:pPr>
  </w:style>
  <w:style w:type="paragraph" w:customStyle="1" w:styleId="af5">
    <w:name w:val="......."/>
    <w:basedOn w:val="a"/>
    <w:pPr>
      <w:suppressAutoHyphens w:val="0"/>
      <w:jc w:val="center"/>
    </w:pPr>
    <w:rPr>
      <w:rFonts w:eastAsia="Calibri"/>
      <w:color w:val="00000A"/>
    </w:rPr>
  </w:style>
  <w:style w:type="paragraph" w:customStyle="1" w:styleId="15">
    <w:name w:val="Текст примечания1"/>
    <w:basedOn w:val="a"/>
    <w:pPr>
      <w:suppressAutoHyphens w:val="0"/>
      <w:spacing w:after="200"/>
    </w:pPr>
    <w:rPr>
      <w:rFonts w:ascii="Calibri" w:eastAsia="Calibri" w:hAnsi="Calibri" w:cs="Calibri"/>
      <w:color w:val="00000A"/>
      <w:sz w:val="20"/>
      <w:szCs w:val="20"/>
    </w:rPr>
  </w:style>
  <w:style w:type="paragraph" w:customStyle="1" w:styleId="24">
    <w:name w:val="АР Прил 2"/>
    <w:basedOn w:val="a"/>
    <w:pPr>
      <w:suppressAutoHyphens w:val="0"/>
      <w:spacing w:after="200" w:line="276" w:lineRule="auto"/>
      <w:jc w:val="center"/>
    </w:pPr>
    <w:rPr>
      <w:rFonts w:eastAsia="Calibri"/>
      <w:b/>
      <w:color w:val="00000A"/>
      <w:szCs w:val="22"/>
    </w:rPr>
  </w:style>
  <w:style w:type="paragraph" w:customStyle="1" w:styleId="111">
    <w:name w:val="Рег. 1.1.1"/>
    <w:basedOn w:val="a"/>
    <w:pPr>
      <w:suppressAutoHyphens w:val="0"/>
      <w:spacing w:line="276" w:lineRule="auto"/>
      <w:jc w:val="both"/>
    </w:pPr>
    <w:rPr>
      <w:rFonts w:eastAsia="Calibri"/>
      <w:color w:val="00000A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pPr>
      <w:widowControl/>
      <w:suppressAutoHyphens w:val="0"/>
      <w:autoSpaceDE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kern w:val="0"/>
      <w:sz w:val="28"/>
      <w:szCs w:val="28"/>
    </w:rPr>
  </w:style>
  <w:style w:type="paragraph" w:customStyle="1" w:styleId="headertext">
    <w:name w:val="headertext"/>
    <w:basedOn w:val="a"/>
    <w:pPr>
      <w:suppressAutoHyphens w:val="0"/>
      <w:spacing w:before="280" w:after="280"/>
    </w:pPr>
  </w:style>
  <w:style w:type="paragraph" w:customStyle="1" w:styleId="formattext">
    <w:name w:val="formattext"/>
    <w:basedOn w:val="a"/>
    <w:pPr>
      <w:suppressAutoHyphens w:val="0"/>
      <w:spacing w:before="280" w:after="280"/>
    </w:p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/>
  <cp:lastModifiedBy>SW Tech AIO</cp:lastModifiedBy>
  <cp:revision>2</cp:revision>
  <cp:lastPrinted>2024-12-10T09:19:00Z</cp:lastPrinted>
  <dcterms:created xsi:type="dcterms:W3CDTF">2024-12-10T09:33:00Z</dcterms:created>
  <dcterms:modified xsi:type="dcterms:W3CDTF">2024-12-10T09:33:00Z</dcterms:modified>
</cp:coreProperties>
</file>