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708"/>
        <w:gridCol w:w="7213"/>
      </w:tblGrid>
      <w:tr>
        <w:trPr>
          <w:trHeight w:val="3358" w:hRule="atLeast"/>
        </w:trPr>
        <w:tc>
          <w:tcPr>
            <w:tcW w:w="2708" w:type="dxa"/>
            <w:tcBorders/>
          </w:tcPr>
          <w:p>
            <w:pPr>
              <w:pStyle w:val="Style20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21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ind w:left="2835" w:hanging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8"/>
                <w:szCs w:val="28"/>
              </w:rPr>
              <w:t>к административному</w:t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8"/>
                <w:szCs w:val="28"/>
              </w:rPr>
              <w:t>регламенту по предоставлению</w:t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8"/>
                <w:szCs w:val="28"/>
              </w:rPr>
              <w:t>муниципальной услуги «Создание</w:t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8"/>
                <w:szCs w:val="28"/>
              </w:rPr>
              <w:t>семейного (родового)</w:t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>
                <w:rFonts w:ascii="Times New Roman" w:hAnsi="Times New Roman" w:eastAsia="Calibri" w:cs="Times New Roman" w:eastAsiaTheme="minorHAnsi"/>
                <w:kern w:val="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8"/>
                <w:szCs w:val="28"/>
              </w:rPr>
              <w:t>захоронения»</w:t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>
                <w:rFonts w:ascii="Times New Roman" w:hAnsi="Times New Roman" w:eastAsia="Calibri" w:cs="Times New Roman" w:eastAsiaTheme="minorHAnsi"/>
                <w:kern w:val="0"/>
                <w:sz w:val="28"/>
                <w:szCs w:val="28"/>
              </w:rPr>
            </w:pPr>
            <w:r>
              <w:rPr>
                <w:rFonts w:eastAsia="Calibri" w:cs="Times New Roman" w:eastAsiaTheme="minorHAnsi" w:ascii="Times New Roman" w:hAnsi="Times New Roman"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>
                <w:rFonts w:ascii="Times New Roman" w:hAnsi="Times New Roman" w:eastAsia="Calibri" w:cs="Times New Roman" w:eastAsiaTheme="minorHAnsi"/>
                <w:kern w:val="0"/>
                <w:sz w:val="28"/>
                <w:szCs w:val="28"/>
              </w:rPr>
            </w:pPr>
            <w:r>
              <w:rPr>
                <w:rFonts w:eastAsia="Calibri" w:cs="Times New Roman" w:eastAsiaTheme="minorHAnsi" w:ascii="Times New Roman" w:hAnsi="Times New Roman"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>
                <w:rFonts w:ascii="Times New Roman" w:hAnsi="Times New Roman" w:eastAsia="Calibri" w:cs="Times New Roman" w:eastAsiaTheme="minorHAnsi"/>
                <w:kern w:val="0"/>
                <w:sz w:val="28"/>
                <w:szCs w:val="28"/>
              </w:rPr>
            </w:pPr>
            <w:r>
              <w:rPr>
                <w:rFonts w:eastAsia="Calibri" w:cs="Times New Roman" w:eastAsiaTheme="minorHAnsi" w:ascii="Times New Roman" w:hAnsi="Times New Roman"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ind w:left="2835" w:hanging="0"/>
              <w:jc w:val="both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22"/>
        <w:numPr>
          <w:ilvl w:val="0"/>
          <w:numId w:val="0"/>
        </w:numPr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2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2"/>
      <w:r>
        <w:rPr>
          <w:b w:val="false"/>
          <w:sz w:val="28"/>
          <w:szCs w:val="28"/>
          <w:lang w:eastAsia="ar-SA"/>
        </w:rPr>
        <w:t>муниципальной услуги «Создание семейного (родового) захоронения»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Конституция Российской Федерации.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Федеральный закон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06.10.2003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131⁠-⁠ФЗ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общих принципах организации местного самоуправления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Российской Федерации».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Федеральный закон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27.07.2010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210⁠-⁠ФЗ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организации предоставления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Федеральный закон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12.01.1996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8⁠-⁠ФЗ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погребении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похоронном деле».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Российской Федерации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26.03.2016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236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требованиях к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предоставлению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электронной форме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6.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Российской Федерации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20.11.2012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1198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действий (бездействия), совершенных при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предоставлении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7.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Российский Федерации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22.12.2012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1376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8.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Российской Федерации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20.07.2021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1228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Правил разработки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внесении изменений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некоторые акты Правительства Российской Федерации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признании утратившими силу некоторых актов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9.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Закон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37/2016⁠-⁠ОЗ «Кодекс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административных правонарушениях».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10.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Закон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115/2007⁠-⁠ОЗ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погребении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похоронном деле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11.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17.10.2016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740/36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Порядка предоставления гражданам мест для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создания семейных (родовых) захоронений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Методики расчета платы за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предоставление места для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создания семейного (родового) захоронения».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12.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08.08.2013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601/33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Положения 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особенностях подачи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рассмотрения жалоб на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решения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области, предоставляющих государственные услуги,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области, 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их работников».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13.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25.04.2011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365/15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Порядка разработки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области, государственными органами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14.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16.04.2015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253/14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Порядка осуществления контроля за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предоставлением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 на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территории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внесении изменений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 xml:space="preserve"> Положение 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связи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15.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Распоряжение Главного управления региональной безопасности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14.05.2019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19⁠-⁠РГУ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реализации отдельных положений Закона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115/2007⁠-⁠ОЗ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погребении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похоронном деле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16.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Распоряжение Главного управления региональной безопасности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25.12.2019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53⁠-⁠РГУ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реализации отдельных положений законодательства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по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предоставлению мест захоронения для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создания семейных (родовых) захоронений на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общественных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военных мемориальных кладбищах, расположенных на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территории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17.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Устав городского округа Фрязино Мо</w:t>
      </w:r>
      <w:r>
        <w:rPr>
          <w:rFonts w:ascii="Times New Roman" w:hAnsi="Times New Roman"/>
          <w:bCs/>
          <w:color w:val="000000"/>
          <w:sz w:val="28"/>
          <w:szCs w:val="28"/>
        </w:rPr>
        <w:t>сковской области.</w:t>
      </w:r>
    </w:p>
    <w:sectPr>
      <w:headerReference w:type="default" r:id="rId2"/>
      <w:type w:val="nextPage"/>
      <w:pgSz w:w="11906" w:h="16838"/>
      <w:pgMar w:left="1134" w:right="850" w:gutter="0" w:header="425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121208546"/>
    </w:sdtPr>
    <w:sdtContent>
      <w:p>
        <w:pPr>
          <w:pStyle w:val="Style18"/>
          <w:spacing w:before="120" w:after="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2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semiHidden="0" w:unhideWhenUsed="0" w:qFormat="1"/>
    <w:lsdException w:name="header" w:semiHidden="0" w:qFormat="1"/>
    <w:lsdException w:name="footer" w:semiHidden="0"/>
    <w:lsdException w:name="caption" w:uiPriority="0" w:semiHidden="0" w:unhideWhenUsed="0" w:qFormat="1"/>
    <w:lsdException w:name="List" w:uiPriority="0" w:semiHidden="0" w:unhideWhenUsed="0" w:qFormat="1"/>
    <w:lsdException w:name="Title" w:uiPriority="10" w:semiHidden="0" w:unhideWhenUsed="0" w:qFormat="1"/>
    <w:lsdException w:name="Default Paragraph Font" w:uiPriority="1" w:qFormat="1"/>
    <w:lsdException w:name="Body Text" w:uiPriority="0" w:semiHidden="0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Table Grid" w:uiPriority="39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1"/>
    <w:next w:val="Normal"/>
    <w:qFormat/>
    <w:pPr>
      <w:tabs>
        <w:tab w:val="clear" w:pos="709"/>
        <w:tab w:val="left" w:pos="0" w:leader="none"/>
      </w:tabs>
      <w:outlineLvl w:val="0"/>
    </w:pPr>
    <w:rPr>
      <w:b/>
      <w:bCs/>
      <w:sz w:val="36"/>
      <w:szCs w:val="36"/>
    </w:rPr>
  </w:style>
  <w:style w:type="paragraph" w:styleId="2">
    <w:name w:val="Heading 2"/>
    <w:basedOn w:val="Style11"/>
    <w:next w:val="Normal"/>
    <w:qFormat/>
    <w:pPr>
      <w:tabs>
        <w:tab w:val="clear" w:pos="709"/>
        <w:tab w:val="left" w:pos="0" w:leader="none"/>
      </w:tabs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1"/>
    <w:next w:val="Normal"/>
    <w:qFormat/>
    <w:pPr>
      <w:tabs>
        <w:tab w:val="clear" w:pos="709"/>
        <w:tab w:val="left" w:pos="0" w:leader="none"/>
      </w:tabs>
      <w:spacing w:before="140" w:after="120"/>
      <w:outlineLvl w:val="2"/>
    </w:pPr>
    <w:rPr>
      <w:b/>
      <w:bCs/>
      <w:color w:val="808080"/>
    </w:rPr>
  </w:style>
  <w:style w:type="paragraph" w:styleId="4">
    <w:name w:val="Heading 4"/>
    <w:basedOn w:val="Style11"/>
    <w:next w:val="Normal"/>
    <w:qFormat/>
    <w:pPr>
      <w:tabs>
        <w:tab w:val="clear" w:pos="709"/>
        <w:tab w:val="left" w:pos="0" w:leader="none"/>
      </w:tabs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1"/>
    <w:next w:val="Normal"/>
    <w:qFormat/>
    <w:pPr>
      <w:tabs>
        <w:tab w:val="clear" w:pos="709"/>
        <w:tab w:val="left" w:pos="0" w:leader="none"/>
      </w:tabs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1"/>
    <w:next w:val="Normal"/>
    <w:qFormat/>
    <w:pPr>
      <w:tabs>
        <w:tab w:val="clear" w:pos="709"/>
        <w:tab w:val="left" w:pos="0" w:leader="none"/>
      </w:tabs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Pr/>
  </w:style>
  <w:style w:type="character" w:styleId="PODBulletSymbols" w:customStyle="1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Style9" w:customStyle="1">
    <w:name w:val="Верхний колонтитул Знак"/>
    <w:basedOn w:val="DefaultParagraphFont"/>
    <w:uiPriority w:val="99"/>
    <w:qFormat/>
    <w:rPr>
      <w:rFonts w:cs="Mangal"/>
      <w:szCs w:val="21"/>
    </w:rPr>
  </w:style>
  <w:style w:type="character" w:styleId="Style10" w:customStyle="1">
    <w:name w:val="Нижний колонтитул Знак"/>
    <w:basedOn w:val="DefaultParagraphFont"/>
    <w:uiPriority w:val="99"/>
    <w:qFormat/>
    <w:rPr>
      <w:rFonts w:cs="Mangal"/>
      <w:szCs w:val="21"/>
    </w:rPr>
  </w:style>
  <w:style w:type="paragraph" w:styleId="Style11" w:customStyle="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2">
    <w:name w:val="Body Text"/>
    <w:basedOn w:val="Normal"/>
    <w:qFormat/>
    <w:pPr>
      <w:spacing w:lineRule="auto" w:line="276" w:before="0" w:after="140"/>
    </w:pPr>
    <w:rPr/>
  </w:style>
  <w:style w:type="paragraph" w:styleId="Style13">
    <w:name w:val="List"/>
    <w:basedOn w:val="Style12"/>
    <w:qFormat/>
    <w:pPr/>
    <w:rPr/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11" w:customStyle="1">
    <w:name w:val="Указатель1"/>
    <w:basedOn w:val="Normal"/>
    <w:qFormat/>
    <w:pPr>
      <w:suppressLineNumbers/>
    </w:pPr>
    <w:rPr/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Style16">
    <w:name w:val="Footnote Text"/>
    <w:basedOn w:val="Normal"/>
    <w:qFormat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link w:val="Style9"/>
    <w:uiPriority w:val="99"/>
    <w:unhideWhenUsed/>
    <w:qFormat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19">
    <w:name w:val="Footer"/>
    <w:basedOn w:val="Normal"/>
    <w:link w:val="Style10"/>
    <w:uiPriority w:val="99"/>
    <w:unhideWhenUsed/>
    <w:pPr>
      <w:tabs>
        <w:tab w:val="clear" w:pos="709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ParaKWN" w:customStyle="1">
    <w:name w:val="ParaKWN"/>
    <w:basedOn w:val="Normal"/>
    <w:qFormat/>
    <w:pPr>
      <w:keepNext w:val="true"/>
    </w:pPr>
    <w:rPr/>
  </w:style>
  <w:style w:type="paragraph" w:styleId="PodPageBreakBefore" w:customStyle="1">
    <w:name w:val="podPageBreakBefore"/>
    <w:qFormat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pPr>
      <w:tabs>
        <w:tab w:val="clear" w:pos="709"/>
        <w:tab w:val="left" w:pos="720" w:leader="none"/>
      </w:tabs>
      <w:ind w:left="720" w:hanging="360"/>
    </w:pPr>
    <w:rPr/>
  </w:style>
  <w:style w:type="paragraph" w:styleId="PodNumberItem" w:customStyle="1">
    <w:name w:val="podNumberItem"/>
    <w:basedOn w:val="Normal"/>
    <w:qFormat/>
    <w:pPr>
      <w:tabs>
        <w:tab w:val="clear" w:pos="709"/>
        <w:tab w:val="left" w:pos="720" w:leader="none"/>
      </w:tabs>
      <w:ind w:left="720" w:hanging="360"/>
    </w:pPr>
    <w:rPr/>
  </w:style>
  <w:style w:type="paragraph" w:styleId="PodBulletItemKeepWithNext" w:customStyle="1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pPr>
      <w:suppressLineNumbers/>
    </w:pPr>
    <w:rPr/>
  </w:style>
  <w:style w:type="paragraph" w:styleId="Tableheading" w:customStyle="1">
    <w:name w:val="Table heading"/>
    <w:basedOn w:val="Tablecell"/>
    <w:qFormat/>
    <w:pPr/>
    <w:rPr>
      <w:b/>
      <w:bCs/>
    </w:rPr>
  </w:style>
  <w:style w:type="paragraph" w:styleId="PodTablePara" w:customStyle="1">
    <w:name w:val="podTablePara"/>
    <w:basedOn w:val="Tablecell"/>
    <w:qFormat/>
    <w:pPr/>
    <w:rPr>
      <w:sz w:val="16"/>
    </w:rPr>
  </w:style>
  <w:style w:type="paragraph" w:styleId="PodTableParaBold" w:customStyle="1">
    <w:name w:val="podTableParaBold"/>
    <w:basedOn w:val="Tablecell"/>
    <w:qFormat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21"/>
    <w:qFormat/>
    <w:pPr/>
    <w:rPr/>
  </w:style>
  <w:style w:type="paragraph" w:styleId="2-" w:customStyle="1">
    <w:name w:val="Рег. Заголовок 2-го уровня регламента"/>
    <w:basedOn w:val="Normal"/>
    <w:qFormat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22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LibreOffice/7.5.7.1$Windows_X86_64 LibreOffice_project/47eb0cf7efbacdee9b19ae25d6752381ede23126</Application>
  <AppVersion>15.0000</AppVersion>
  <Pages>2</Pages>
  <Words>486</Words>
  <Characters>3589</Characters>
  <CharactersWithSpaces>4019</CharactersWithSpaces>
  <Paragraphs>25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2025-11-19T12:01:00Z</dcterms:created>
  <dc:creator>Gigabyte</dc:creator>
  <dc:description/>
  <dc:language>ru-RU</dc:language>
  <cp:lastModifiedBy/>
  <dcterms:modified xsi:type="dcterms:W3CDTF">2025-11-20T16:22:32Z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498A56894F9C4E7B96C05764B5189664_13</vt:lpwstr>
  </property>
  <property fmtid="{D5CDD505-2E9C-101B-9397-08002B2CF9AE}" pid="3" name="KSOProductBuildVer">
    <vt:lpwstr>1049-12.2.0.22549</vt:lpwstr>
  </property>
</Properties>
</file>