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09B" w:rsidRDefault="00E25C2A">
      <w:pPr>
        <w:pStyle w:val="ConsPlusNormal"/>
      </w:pPr>
      <w:r>
        <w:t xml:space="preserve">                                                                                                                                                   Приложение 2 </w:t>
      </w:r>
    </w:p>
    <w:p w:rsidR="0074509B" w:rsidRDefault="00E25C2A">
      <w:pPr>
        <w:pStyle w:val="ConsPlusNormal"/>
        <w:ind w:left="8787"/>
        <w:rPr>
          <w:sz w:val="20"/>
          <w:szCs w:val="20"/>
        </w:rPr>
      </w:pPr>
      <w:r>
        <w:rPr>
          <w:sz w:val="20"/>
          <w:szCs w:val="20"/>
        </w:rPr>
        <w:t xml:space="preserve">к Порядку </w:t>
      </w:r>
      <w:r>
        <w:rPr>
          <w:rFonts w:eastAsia="Times New Roman"/>
          <w:color w:val="000000"/>
          <w:sz w:val="20"/>
          <w:szCs w:val="20"/>
        </w:rPr>
        <w:t>предоставления субсидии на погашение просроченной задолженности управляющих организаций, поставщиков ресурсов (</w:t>
      </w:r>
      <w:proofErr w:type="spellStart"/>
      <w:r>
        <w:rPr>
          <w:rFonts w:eastAsia="Times New Roman"/>
          <w:color w:val="000000"/>
          <w:sz w:val="20"/>
          <w:szCs w:val="20"/>
        </w:rPr>
        <w:t>ресурсоснабжающих</w:t>
      </w:r>
      <w:proofErr w:type="spellEnd"/>
      <w:r>
        <w:rPr>
          <w:rFonts w:eastAsia="Times New Roman"/>
          <w:color w:val="000000"/>
          <w:sz w:val="20"/>
          <w:szCs w:val="20"/>
        </w:rPr>
        <w:t xml:space="preserve">, теплоснабжающих организаций, гарантирующих организаций) перед поставщиками энергоресурсов (газа, электроэнергии, тепловой энергии) путем возмещения части недополученных доходов управляющих организаций, поставщиков ресурсов, образовавшихся в связи с задолженностью населения по оплате за жилое помещение и коммунальные услуги, признанной                       невозможной к взысканию </w:t>
      </w:r>
    </w:p>
    <w:p w:rsidR="0074509B" w:rsidRDefault="0074509B">
      <w:pPr>
        <w:jc w:val="center"/>
      </w:pPr>
    </w:p>
    <w:p w:rsidR="0074509B" w:rsidRDefault="00E25C2A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Отчет об использовании субсидии</w:t>
      </w:r>
    </w:p>
    <w:p w:rsidR="0074509B" w:rsidRDefault="00E25C2A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 погашение просроченной задолженности управляющих организаций, поставщиков ресурсов (</w:t>
      </w:r>
      <w:proofErr w:type="spellStart"/>
      <w:r>
        <w:rPr>
          <w:rFonts w:ascii="Times New Roman" w:hAnsi="Times New Roman"/>
        </w:rPr>
        <w:t>ресурсоснабжающих</w:t>
      </w:r>
      <w:proofErr w:type="spellEnd"/>
      <w:r>
        <w:rPr>
          <w:rFonts w:ascii="Times New Roman" w:hAnsi="Times New Roman"/>
        </w:rPr>
        <w:t>, теплоснабжающих организаций, гарантирующих организаций) перед поставщиками энергоресурсов (газа, электроэнергии, тепловой энергии) путем возмещения части недополученных доходов управляющих организаций, поставщиков ресурсов, образовавшихся в связи с задолженностью населения по оплате за жилое помещение и коммунальные услуги, признанной невозможной к взысканию</w:t>
      </w:r>
    </w:p>
    <w:p w:rsidR="0074509B" w:rsidRDefault="00E25C2A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</w:t>
      </w:r>
    </w:p>
    <w:p w:rsidR="0074509B" w:rsidRDefault="00E25C2A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(наименование организации)</w:t>
      </w:r>
    </w:p>
    <w:tbl>
      <w:tblPr>
        <w:tblW w:w="14495" w:type="dxa"/>
        <w:tblInd w:w="-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6"/>
        <w:gridCol w:w="2639"/>
        <w:gridCol w:w="1868"/>
        <w:gridCol w:w="664"/>
        <w:gridCol w:w="945"/>
        <w:gridCol w:w="1080"/>
        <w:gridCol w:w="2045"/>
        <w:gridCol w:w="2045"/>
        <w:gridCol w:w="631"/>
        <w:gridCol w:w="818"/>
        <w:gridCol w:w="1004"/>
      </w:tblGrid>
      <w:tr w:rsidR="0074509B">
        <w:trPr>
          <w:trHeight w:val="930"/>
        </w:trPr>
        <w:tc>
          <w:tcPr>
            <w:tcW w:w="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09B" w:rsidRDefault="00E25C2A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2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09B" w:rsidRDefault="00E25C2A">
            <w:pPr>
              <w:pStyle w:val="ConsPlusNormal"/>
              <w:jc w:val="center"/>
            </w:pPr>
            <w:r>
              <w:t>Наименование, дата заключенного Соглашения о порядке и условиях предоставления субсидии</w:t>
            </w:r>
          </w:p>
        </w:tc>
        <w:tc>
          <w:tcPr>
            <w:tcW w:w="1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09B" w:rsidRDefault="00E25C2A">
            <w:pPr>
              <w:pStyle w:val="ConsPlusNormal"/>
              <w:jc w:val="center"/>
            </w:pPr>
            <w:r>
              <w:t>Сумма средств, предусмотренных по Соглашению (руб.)</w:t>
            </w:r>
          </w:p>
        </w:tc>
        <w:tc>
          <w:tcPr>
            <w:tcW w:w="2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09B" w:rsidRDefault="00E25C2A">
            <w:pPr>
              <w:pStyle w:val="ConsPlusNormal"/>
              <w:jc w:val="center"/>
            </w:pPr>
            <w:r>
              <w:t>Перечислено из бюджета</w:t>
            </w:r>
          </w:p>
        </w:tc>
        <w:tc>
          <w:tcPr>
            <w:tcW w:w="2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09B" w:rsidRDefault="00E25C2A">
            <w:pPr>
              <w:pStyle w:val="ConsPlusNormal"/>
              <w:jc w:val="center"/>
            </w:pPr>
            <w:r>
              <w:t>Наименование поставщика энергоресурсов</w:t>
            </w:r>
          </w:p>
        </w:tc>
        <w:tc>
          <w:tcPr>
            <w:tcW w:w="2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09B" w:rsidRDefault="00E25C2A">
            <w:pPr>
              <w:pStyle w:val="ConsPlusNormal"/>
              <w:jc w:val="center"/>
            </w:pPr>
            <w:r>
              <w:t>Номер и дата заключенного договора с поставщиком энергоресурсов</w:t>
            </w:r>
          </w:p>
        </w:tc>
        <w:tc>
          <w:tcPr>
            <w:tcW w:w="2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09B" w:rsidRDefault="00E25C2A">
            <w:pPr>
              <w:pStyle w:val="ConsPlusNormal"/>
              <w:jc w:val="center"/>
            </w:pPr>
            <w:r>
              <w:t>Перечислено поставщику энергоресурсов</w:t>
            </w:r>
          </w:p>
        </w:tc>
      </w:tr>
      <w:tr w:rsidR="0074509B">
        <w:trPr>
          <w:trHeight w:val="735"/>
        </w:trPr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09B" w:rsidRDefault="0074509B">
            <w:pPr>
              <w:pStyle w:val="ConsPlusNormal"/>
              <w:jc w:val="center"/>
            </w:pPr>
          </w:p>
        </w:tc>
        <w:tc>
          <w:tcPr>
            <w:tcW w:w="2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09B" w:rsidRDefault="0074509B">
            <w:pPr>
              <w:pStyle w:val="ConsPlusNormal"/>
              <w:jc w:val="center"/>
            </w:pPr>
          </w:p>
        </w:tc>
        <w:tc>
          <w:tcPr>
            <w:tcW w:w="1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09B" w:rsidRDefault="0074509B">
            <w:pPr>
              <w:pStyle w:val="ConsPlusNormal"/>
              <w:jc w:val="center"/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09B" w:rsidRDefault="00E25C2A">
            <w:pPr>
              <w:pStyle w:val="ConsPlusNormal"/>
              <w:jc w:val="center"/>
            </w:pPr>
            <w:r>
              <w:t xml:space="preserve">N п/п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09B" w:rsidRDefault="00E25C2A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09B" w:rsidRDefault="00E25C2A">
            <w:pPr>
              <w:pStyle w:val="ConsPlusNormal"/>
              <w:jc w:val="center"/>
            </w:pPr>
            <w:r>
              <w:t>Сумма (руб.)</w:t>
            </w: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09B" w:rsidRDefault="0074509B">
            <w:pPr>
              <w:pStyle w:val="ConsPlusNormal"/>
              <w:jc w:val="center"/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09B" w:rsidRDefault="0074509B">
            <w:pPr>
              <w:pStyle w:val="ConsPlusNormal"/>
              <w:jc w:val="center"/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09B" w:rsidRDefault="00E25C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09B" w:rsidRDefault="00E25C2A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09B" w:rsidRDefault="00E25C2A">
            <w:pPr>
              <w:pStyle w:val="ConsPlusNormal"/>
              <w:jc w:val="center"/>
            </w:pPr>
            <w:r>
              <w:t>Сумма (руб.)</w:t>
            </w:r>
          </w:p>
        </w:tc>
      </w:tr>
      <w:tr w:rsidR="0074509B">
        <w:trPr>
          <w:trHeight w:val="270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09B" w:rsidRDefault="00E25C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09B" w:rsidRDefault="00E25C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09B" w:rsidRDefault="00E25C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09B" w:rsidRDefault="00E25C2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09B" w:rsidRDefault="00E25C2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09B" w:rsidRDefault="00E25C2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09B" w:rsidRDefault="00E25C2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09B" w:rsidRDefault="00E25C2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09B" w:rsidRDefault="00E25C2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09B" w:rsidRDefault="00E25C2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09B" w:rsidRDefault="00E25C2A">
            <w:pPr>
              <w:pStyle w:val="ConsPlusNormal"/>
              <w:jc w:val="center"/>
            </w:pPr>
            <w:r>
              <w:t>12</w:t>
            </w:r>
          </w:p>
        </w:tc>
      </w:tr>
      <w:tr w:rsidR="0074509B">
        <w:trPr>
          <w:trHeight w:val="285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09B" w:rsidRDefault="0074509B">
            <w:pPr>
              <w:pStyle w:val="ConsPlusNormal"/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09B" w:rsidRDefault="0074509B">
            <w:pPr>
              <w:pStyle w:val="ConsPlusNormal"/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09B" w:rsidRDefault="0074509B">
            <w:pPr>
              <w:pStyle w:val="ConsPlusNormal"/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09B" w:rsidRDefault="0074509B">
            <w:pPr>
              <w:pStyle w:val="ConsPlusNormal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09B" w:rsidRDefault="0074509B">
            <w:pPr>
              <w:pStyle w:val="ConsPlusNormal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09B" w:rsidRDefault="0074509B">
            <w:pPr>
              <w:pStyle w:val="ConsPlusNormal"/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09B" w:rsidRDefault="0074509B">
            <w:pPr>
              <w:pStyle w:val="ConsPlusNormal"/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09B" w:rsidRDefault="0074509B">
            <w:pPr>
              <w:pStyle w:val="ConsPlusNormal"/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09B" w:rsidRDefault="0074509B">
            <w:pPr>
              <w:pStyle w:val="ConsPlusNormal"/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09B" w:rsidRDefault="0074509B">
            <w:pPr>
              <w:pStyle w:val="ConsPlusNormal"/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09B" w:rsidRDefault="0074509B">
            <w:pPr>
              <w:pStyle w:val="ConsPlusNormal"/>
            </w:pPr>
          </w:p>
        </w:tc>
      </w:tr>
    </w:tbl>
    <w:p w:rsidR="0074509B" w:rsidRDefault="00E25C2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к отчету прилагаются:</w:t>
      </w:r>
    </w:p>
    <w:p w:rsidR="0074509B" w:rsidRDefault="00E25C2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- документов, подтверждающих целевое расходование средств Субсидии;</w:t>
      </w:r>
    </w:p>
    <w:p w:rsidR="0074509B" w:rsidRDefault="00E25C2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</w:rPr>
        <w:t>акты на списание задолженности по каждому лицевому счету в соответствии с реестром постановлений об окончании исполнительных производств, в размере выделенной Субсидии</w:t>
      </w:r>
    </w:p>
    <w:tbl>
      <w:tblPr>
        <w:tblW w:w="885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2"/>
        <w:gridCol w:w="1935"/>
        <w:gridCol w:w="340"/>
        <w:gridCol w:w="3005"/>
      </w:tblGrid>
      <w:tr w:rsidR="0074509B">
        <w:tc>
          <w:tcPr>
            <w:tcW w:w="3571" w:type="dxa"/>
          </w:tcPr>
          <w:p w:rsidR="0074509B" w:rsidRDefault="00E25C2A" w:rsidP="00D13476">
            <w:pPr>
              <w:pStyle w:val="ConsPlusNormal"/>
              <w:jc w:val="both"/>
            </w:pPr>
            <w:r>
              <w:t xml:space="preserve">Руководитель </w:t>
            </w:r>
          </w:p>
        </w:tc>
        <w:tc>
          <w:tcPr>
            <w:tcW w:w="1935" w:type="dxa"/>
            <w:tcBorders>
              <w:bottom w:val="single" w:sz="4" w:space="0" w:color="000000"/>
            </w:tcBorders>
          </w:tcPr>
          <w:p w:rsidR="0074509B" w:rsidRDefault="0074509B">
            <w:pPr>
              <w:pStyle w:val="ConsPlusNormal"/>
            </w:pPr>
          </w:p>
        </w:tc>
        <w:tc>
          <w:tcPr>
            <w:tcW w:w="340" w:type="dxa"/>
          </w:tcPr>
          <w:p w:rsidR="0074509B" w:rsidRDefault="0074509B">
            <w:pPr>
              <w:pStyle w:val="ConsPlusNormal"/>
            </w:pPr>
          </w:p>
        </w:tc>
        <w:tc>
          <w:tcPr>
            <w:tcW w:w="3005" w:type="dxa"/>
            <w:tcBorders>
              <w:bottom w:val="single" w:sz="4" w:space="0" w:color="000000"/>
            </w:tcBorders>
          </w:tcPr>
          <w:p w:rsidR="0074509B" w:rsidRDefault="0074509B">
            <w:pPr>
              <w:pStyle w:val="ConsPlusNormal"/>
            </w:pPr>
          </w:p>
        </w:tc>
      </w:tr>
      <w:tr w:rsidR="0074509B">
        <w:tc>
          <w:tcPr>
            <w:tcW w:w="3571" w:type="dxa"/>
          </w:tcPr>
          <w:p w:rsidR="0074509B" w:rsidRDefault="0074509B">
            <w:pPr>
              <w:pStyle w:val="ConsPlusNormal"/>
            </w:pPr>
            <w:bookmarkStart w:id="0" w:name="_GoBack1"/>
            <w:bookmarkEnd w:id="0"/>
          </w:p>
        </w:tc>
        <w:tc>
          <w:tcPr>
            <w:tcW w:w="1935" w:type="dxa"/>
            <w:tcBorders>
              <w:top w:val="single" w:sz="4" w:space="0" w:color="000000"/>
            </w:tcBorders>
          </w:tcPr>
          <w:p w:rsidR="0074509B" w:rsidRDefault="00E25C2A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</w:tcPr>
          <w:p w:rsidR="0074509B" w:rsidRDefault="0074509B">
            <w:pPr>
              <w:pStyle w:val="ConsPlusNormal"/>
            </w:pPr>
          </w:p>
        </w:tc>
        <w:tc>
          <w:tcPr>
            <w:tcW w:w="3005" w:type="dxa"/>
            <w:tcBorders>
              <w:top w:val="single" w:sz="4" w:space="0" w:color="000000"/>
            </w:tcBorders>
          </w:tcPr>
          <w:p w:rsidR="0074509B" w:rsidRDefault="00E25C2A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74509B">
        <w:tc>
          <w:tcPr>
            <w:tcW w:w="3571" w:type="dxa"/>
          </w:tcPr>
          <w:p w:rsidR="0074509B" w:rsidRDefault="00E25C2A" w:rsidP="00D13476">
            <w:pPr>
              <w:pStyle w:val="ConsPlusNormal"/>
            </w:pPr>
            <w:r>
              <w:t xml:space="preserve">Главный бухгалтер </w:t>
            </w:r>
            <w:bookmarkStart w:id="1" w:name="_GoBack"/>
            <w:bookmarkEnd w:id="1"/>
          </w:p>
        </w:tc>
        <w:tc>
          <w:tcPr>
            <w:tcW w:w="1935" w:type="dxa"/>
            <w:tcBorders>
              <w:bottom w:val="single" w:sz="4" w:space="0" w:color="000000"/>
            </w:tcBorders>
          </w:tcPr>
          <w:p w:rsidR="0074509B" w:rsidRDefault="0074509B">
            <w:pPr>
              <w:pStyle w:val="ConsPlusNormal"/>
            </w:pPr>
          </w:p>
        </w:tc>
        <w:tc>
          <w:tcPr>
            <w:tcW w:w="340" w:type="dxa"/>
          </w:tcPr>
          <w:p w:rsidR="0074509B" w:rsidRDefault="0074509B">
            <w:pPr>
              <w:pStyle w:val="ConsPlusNormal"/>
            </w:pPr>
          </w:p>
        </w:tc>
        <w:tc>
          <w:tcPr>
            <w:tcW w:w="3005" w:type="dxa"/>
            <w:tcBorders>
              <w:bottom w:val="single" w:sz="4" w:space="0" w:color="000000"/>
            </w:tcBorders>
          </w:tcPr>
          <w:p w:rsidR="0074509B" w:rsidRDefault="0074509B">
            <w:pPr>
              <w:pStyle w:val="ConsPlusNormal"/>
            </w:pPr>
          </w:p>
        </w:tc>
      </w:tr>
      <w:tr w:rsidR="0074509B">
        <w:tc>
          <w:tcPr>
            <w:tcW w:w="3571" w:type="dxa"/>
          </w:tcPr>
          <w:p w:rsidR="0074509B" w:rsidRDefault="0074509B">
            <w:pPr>
              <w:pStyle w:val="ConsPlusNormal"/>
            </w:pPr>
          </w:p>
        </w:tc>
        <w:tc>
          <w:tcPr>
            <w:tcW w:w="1935" w:type="dxa"/>
            <w:tcBorders>
              <w:top w:val="single" w:sz="4" w:space="0" w:color="000000"/>
            </w:tcBorders>
          </w:tcPr>
          <w:p w:rsidR="0074509B" w:rsidRDefault="00E25C2A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</w:tcPr>
          <w:p w:rsidR="0074509B" w:rsidRDefault="0074509B">
            <w:pPr>
              <w:pStyle w:val="ConsPlusNormal"/>
            </w:pPr>
          </w:p>
        </w:tc>
        <w:tc>
          <w:tcPr>
            <w:tcW w:w="3005" w:type="dxa"/>
            <w:tcBorders>
              <w:top w:val="single" w:sz="4" w:space="0" w:color="000000"/>
            </w:tcBorders>
          </w:tcPr>
          <w:p w:rsidR="0074509B" w:rsidRDefault="00E25C2A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</w:tbl>
    <w:p w:rsidR="0074509B" w:rsidRDefault="00E25C2A">
      <w:r>
        <w:rPr>
          <w:rFonts w:ascii="Times New Roman" w:hAnsi="Times New Roman"/>
        </w:rPr>
        <w:t>М.П.</w:t>
      </w:r>
      <w:r>
        <w:t xml:space="preserve">  </w:t>
      </w:r>
    </w:p>
    <w:sectPr w:rsidR="0074509B">
      <w:pgSz w:w="16838" w:h="11906" w:orient="landscape"/>
      <w:pgMar w:top="709" w:right="1134" w:bottom="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Mono">
    <w:altName w:val="Courier New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09B"/>
    <w:rsid w:val="00456430"/>
    <w:rsid w:val="0074509B"/>
    <w:rsid w:val="00D13476"/>
    <w:rsid w:val="00E2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DC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customStyle="1" w:styleId="ConsPlusNormal">
    <w:name w:val="ConsPlusNormal"/>
    <w:qFormat/>
    <w:rsid w:val="00FB6DC3"/>
    <w:pPr>
      <w:widowControl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8">
    <w:name w:val="Текст в заданном формате"/>
    <w:basedOn w:val="a"/>
    <w:qFormat/>
    <w:pPr>
      <w:widowControl w:val="0"/>
    </w:pPr>
    <w:rPr>
      <w:rFonts w:ascii="Liberation Mono" w:eastAsia="NSimSun" w:hAnsi="Liberation Mono" w:cs="Liberation Mono"/>
      <w:sz w:val="20"/>
      <w:szCs w:val="20"/>
      <w:lang w:bidi="hi-IN"/>
    </w:rPr>
  </w:style>
  <w:style w:type="table" w:styleId="a9">
    <w:name w:val="Table Grid"/>
    <w:basedOn w:val="a1"/>
    <w:uiPriority w:val="39"/>
    <w:rsid w:val="00FB6D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DC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customStyle="1" w:styleId="ConsPlusNormal">
    <w:name w:val="ConsPlusNormal"/>
    <w:qFormat/>
    <w:rsid w:val="00FB6DC3"/>
    <w:pPr>
      <w:widowControl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8">
    <w:name w:val="Текст в заданном формате"/>
    <w:basedOn w:val="a"/>
    <w:qFormat/>
    <w:pPr>
      <w:widowControl w:val="0"/>
    </w:pPr>
    <w:rPr>
      <w:rFonts w:ascii="Liberation Mono" w:eastAsia="NSimSun" w:hAnsi="Liberation Mono" w:cs="Liberation Mono"/>
      <w:sz w:val="20"/>
      <w:szCs w:val="20"/>
      <w:lang w:bidi="hi-IN"/>
    </w:rPr>
  </w:style>
  <w:style w:type="table" w:styleId="a9">
    <w:name w:val="Table Grid"/>
    <w:basedOn w:val="a1"/>
    <w:uiPriority w:val="39"/>
    <w:rsid w:val="00FB6D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</dc:creator>
  <cp:lastModifiedBy>user</cp:lastModifiedBy>
  <cp:revision>3</cp:revision>
  <dcterms:created xsi:type="dcterms:W3CDTF">2024-09-12T09:52:00Z</dcterms:created>
  <dcterms:modified xsi:type="dcterms:W3CDTF">2024-09-12T09:53:00Z</dcterms:modified>
  <dc:language>ru-RU</dc:language>
</cp:coreProperties>
</file>