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B82" w:rsidRPr="008722CE" w:rsidRDefault="00A60B82" w:rsidP="00A60B82">
      <w:pPr>
        <w:spacing w:after="0" w:line="240" w:lineRule="auto"/>
        <w:jc w:val="center"/>
        <w:rPr>
          <w:rFonts w:ascii="Times New Roman" w:eastAsia="Calibri" w:hAnsi="Times New Roman" w:cs="Times New Roman"/>
          <w:sz w:val="28"/>
          <w:szCs w:val="28"/>
        </w:rPr>
      </w:pPr>
      <w:r w:rsidRPr="008722CE">
        <w:rPr>
          <w:rFonts w:ascii="Times New Roman" w:eastAsia="Calibri" w:hAnsi="Times New Roman" w:cs="Times New Roman"/>
          <w:sz w:val="28"/>
          <w:szCs w:val="28"/>
        </w:rPr>
        <w:t>Методика определения результатов выполнения мероприятий</w:t>
      </w:r>
    </w:p>
    <w:p w:rsidR="00A60B82" w:rsidRPr="008722CE" w:rsidRDefault="00A60B82" w:rsidP="00A60B82">
      <w:pPr>
        <w:spacing w:after="0" w:line="240" w:lineRule="auto"/>
        <w:jc w:val="center"/>
        <w:rPr>
          <w:rFonts w:ascii="Times New Roman" w:eastAsia="Calibri" w:hAnsi="Times New Roman" w:cs="Times New Roman"/>
          <w:sz w:val="28"/>
          <w:szCs w:val="28"/>
        </w:rPr>
      </w:pPr>
      <w:r w:rsidRPr="008722CE">
        <w:rPr>
          <w:rFonts w:ascii="Times New Roman" w:eastAsia="Calibri" w:hAnsi="Times New Roman" w:cs="Times New Roman"/>
          <w:sz w:val="28"/>
          <w:szCs w:val="28"/>
        </w:rPr>
        <w:t>муниципальной программы «Развитие и функционирование дорожно-транспортного комплекса» на 2023-2027 годы</w:t>
      </w:r>
    </w:p>
    <w:p w:rsidR="00A60B82" w:rsidRPr="008722CE" w:rsidRDefault="00A60B82" w:rsidP="00A60B82">
      <w:pPr>
        <w:spacing w:after="0" w:line="240" w:lineRule="auto"/>
        <w:jc w:val="center"/>
        <w:rPr>
          <w:rFonts w:ascii="Times New Roman" w:eastAsia="Calibri" w:hAnsi="Times New Roman" w:cs="Times New Roman"/>
          <w:sz w:val="28"/>
          <w:szCs w:val="28"/>
        </w:rPr>
      </w:pPr>
    </w:p>
    <w:tbl>
      <w:tblPr>
        <w:tblStyle w:val="1"/>
        <w:tblW w:w="14992" w:type="dxa"/>
        <w:tblLayout w:type="fixed"/>
        <w:tblLook w:val="04A0" w:firstRow="1" w:lastRow="0" w:firstColumn="1" w:lastColumn="0" w:noHBand="0" w:noVBand="1"/>
      </w:tblPr>
      <w:tblGrid>
        <w:gridCol w:w="540"/>
        <w:gridCol w:w="1553"/>
        <w:gridCol w:w="1559"/>
        <w:gridCol w:w="1559"/>
        <w:gridCol w:w="3686"/>
        <w:gridCol w:w="1417"/>
        <w:gridCol w:w="4678"/>
      </w:tblGrid>
      <w:tr w:rsidR="00A60B82" w:rsidRPr="00A60B82" w:rsidTr="00FF4770">
        <w:tc>
          <w:tcPr>
            <w:tcW w:w="540"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 xml:space="preserve">№ </w:t>
            </w:r>
            <w:r w:rsidRPr="008722CE">
              <w:rPr>
                <w:rFonts w:ascii="Arial" w:eastAsia="Calibri" w:hAnsi="Arial" w:cs="Arial"/>
                <w:sz w:val="20"/>
                <w:szCs w:val="20"/>
              </w:rPr>
              <w:br/>
              <w:t>п/п</w:t>
            </w:r>
          </w:p>
        </w:tc>
        <w:tc>
          <w:tcPr>
            <w:tcW w:w="1553"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 xml:space="preserve">№ подпрограм-мы </w:t>
            </w:r>
          </w:p>
        </w:tc>
        <w:tc>
          <w:tcPr>
            <w:tcW w:w="1559"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 xml:space="preserve">№ основного мероприятия </w:t>
            </w:r>
          </w:p>
        </w:tc>
        <w:tc>
          <w:tcPr>
            <w:tcW w:w="1559"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 xml:space="preserve">№ мероприятия </w:t>
            </w:r>
          </w:p>
        </w:tc>
        <w:tc>
          <w:tcPr>
            <w:tcW w:w="3686"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Наименование результата</w:t>
            </w:r>
          </w:p>
        </w:tc>
        <w:tc>
          <w:tcPr>
            <w:tcW w:w="1417"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Единица измерения</w:t>
            </w:r>
          </w:p>
        </w:tc>
        <w:tc>
          <w:tcPr>
            <w:tcW w:w="4678"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Порядок определения значений</w:t>
            </w:r>
          </w:p>
        </w:tc>
      </w:tr>
      <w:tr w:rsidR="00A60B82" w:rsidRPr="00A60B82" w:rsidTr="00FF4770">
        <w:trPr>
          <w:trHeight w:val="365"/>
        </w:trPr>
        <w:tc>
          <w:tcPr>
            <w:tcW w:w="540" w:type="dxa"/>
          </w:tcPr>
          <w:p w:rsidR="00A60B82" w:rsidRPr="008722CE" w:rsidRDefault="00A60B82" w:rsidP="00A60B82">
            <w:pPr>
              <w:spacing w:after="200" w:line="276" w:lineRule="auto"/>
              <w:jc w:val="center"/>
              <w:rPr>
                <w:rFonts w:ascii="Arial" w:eastAsia="Calibri" w:hAnsi="Arial" w:cs="Arial"/>
                <w:sz w:val="20"/>
                <w:szCs w:val="20"/>
              </w:rPr>
            </w:pPr>
            <w:bookmarkStart w:id="0" w:name="_GoBack"/>
            <w:r w:rsidRPr="008722CE">
              <w:rPr>
                <w:rFonts w:ascii="Arial" w:eastAsia="Calibri" w:hAnsi="Arial" w:cs="Arial"/>
                <w:sz w:val="20"/>
                <w:szCs w:val="20"/>
              </w:rPr>
              <w:t>1</w:t>
            </w:r>
          </w:p>
        </w:tc>
        <w:tc>
          <w:tcPr>
            <w:tcW w:w="1553"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2</w:t>
            </w:r>
          </w:p>
        </w:tc>
        <w:tc>
          <w:tcPr>
            <w:tcW w:w="1559"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3</w:t>
            </w:r>
          </w:p>
        </w:tc>
        <w:tc>
          <w:tcPr>
            <w:tcW w:w="1559"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4</w:t>
            </w:r>
          </w:p>
        </w:tc>
        <w:tc>
          <w:tcPr>
            <w:tcW w:w="3686"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5</w:t>
            </w:r>
          </w:p>
        </w:tc>
        <w:tc>
          <w:tcPr>
            <w:tcW w:w="1417"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6</w:t>
            </w:r>
          </w:p>
        </w:tc>
        <w:tc>
          <w:tcPr>
            <w:tcW w:w="4678"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7</w:t>
            </w:r>
          </w:p>
        </w:tc>
      </w:tr>
      <w:bookmarkEnd w:id="0"/>
      <w:tr w:rsidR="00A60B82" w:rsidRPr="00A60B82" w:rsidTr="00FF4770">
        <w:tc>
          <w:tcPr>
            <w:tcW w:w="540"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1.</w:t>
            </w:r>
          </w:p>
        </w:tc>
        <w:tc>
          <w:tcPr>
            <w:tcW w:w="1553"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01</w:t>
            </w:r>
          </w:p>
        </w:tc>
        <w:tc>
          <w:tcPr>
            <w:tcW w:w="1559"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02</w:t>
            </w:r>
          </w:p>
        </w:tc>
        <w:tc>
          <w:tcPr>
            <w:tcW w:w="1559" w:type="dxa"/>
          </w:tcPr>
          <w:p w:rsidR="00A60B82" w:rsidRPr="008722CE" w:rsidRDefault="00A60B82" w:rsidP="00A60B82">
            <w:pPr>
              <w:spacing w:after="200" w:line="276" w:lineRule="auto"/>
              <w:jc w:val="center"/>
              <w:rPr>
                <w:rFonts w:ascii="Arial" w:eastAsia="Calibri" w:hAnsi="Arial" w:cs="Arial"/>
                <w:sz w:val="20"/>
                <w:szCs w:val="20"/>
              </w:rPr>
            </w:pPr>
            <w:r w:rsidRPr="008722CE">
              <w:rPr>
                <w:rFonts w:ascii="Arial" w:eastAsia="Calibri" w:hAnsi="Arial" w:cs="Arial"/>
                <w:sz w:val="20"/>
                <w:szCs w:val="20"/>
              </w:rPr>
              <w:t>04</w:t>
            </w:r>
          </w:p>
        </w:tc>
        <w:tc>
          <w:tcPr>
            <w:tcW w:w="3686" w:type="dxa"/>
          </w:tcPr>
          <w:p w:rsidR="00A60B82" w:rsidRPr="008722CE" w:rsidRDefault="00A60B82" w:rsidP="00A60B82">
            <w:pPr>
              <w:rPr>
                <w:rFonts w:ascii="Arial" w:eastAsia="Calibri" w:hAnsi="Arial" w:cs="Arial"/>
                <w:sz w:val="20"/>
                <w:szCs w:val="20"/>
              </w:rPr>
            </w:pPr>
            <w:r w:rsidRPr="008722CE">
              <w:rPr>
                <w:rFonts w:ascii="Arial" w:eastAsia="Times New Roman" w:hAnsi="Arial" w:cs="Arial"/>
                <w:sz w:val="20"/>
                <w:szCs w:val="20"/>
                <w:lang w:eastAsia="ru-RU"/>
              </w:rPr>
              <w:t>Обеспечено выполнения транспортной работы автомобильным транспортом в соответствии с заключенными муниципальными контрактами и договорами на выполнение работ по перевозке пассажиров</w:t>
            </w:r>
          </w:p>
        </w:tc>
        <w:tc>
          <w:tcPr>
            <w:tcW w:w="1417"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w:t>
            </w:r>
          </w:p>
        </w:tc>
        <w:tc>
          <w:tcPr>
            <w:tcW w:w="4678" w:type="dxa"/>
          </w:tcPr>
          <w:p w:rsidR="00A60B82" w:rsidRPr="008722CE" w:rsidRDefault="008722CE" w:rsidP="004F5170">
            <w:pPr>
              <w:rPr>
                <w:rFonts w:ascii="Arial" w:eastAsia="Calibri" w:hAnsi="Arial" w:cs="Arial"/>
                <w:sz w:val="20"/>
                <w:szCs w:val="20"/>
              </w:rPr>
            </w:pPr>
            <w:r>
              <w:rPr>
                <w:rFonts w:ascii="Arial" w:eastAsia="Calibri" w:hAnsi="Arial" w:cs="Arial"/>
                <w:sz w:val="20"/>
                <w:szCs w:val="20"/>
              </w:rPr>
              <w:t xml:space="preserve">Значение показателя определяется </w:t>
            </w:r>
            <w:r w:rsidR="004F5170">
              <w:rPr>
                <w:rFonts w:ascii="Arial" w:eastAsia="Calibri" w:hAnsi="Arial" w:cs="Arial"/>
                <w:sz w:val="20"/>
                <w:szCs w:val="20"/>
              </w:rPr>
              <w:t>как отношение планового количества рейсов к фактическому количеству выходов за отчётный период.</w:t>
            </w:r>
          </w:p>
        </w:tc>
      </w:tr>
      <w:tr w:rsidR="00A60B82" w:rsidRPr="00A60B82" w:rsidTr="00FF4770">
        <w:tc>
          <w:tcPr>
            <w:tcW w:w="540"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2.</w:t>
            </w:r>
          </w:p>
        </w:tc>
        <w:tc>
          <w:tcPr>
            <w:tcW w:w="1553"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2</w:t>
            </w:r>
          </w:p>
        </w:tc>
        <w:tc>
          <w:tcPr>
            <w:tcW w:w="1559"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04</w:t>
            </w:r>
          </w:p>
        </w:tc>
        <w:tc>
          <w:tcPr>
            <w:tcW w:w="1559"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01, 03</w:t>
            </w:r>
          </w:p>
        </w:tc>
        <w:tc>
          <w:tcPr>
            <w:tcW w:w="3686" w:type="dxa"/>
          </w:tcPr>
          <w:p w:rsidR="00A60B82" w:rsidRPr="008722CE" w:rsidRDefault="00A60B82" w:rsidP="00A60B82">
            <w:pPr>
              <w:rPr>
                <w:rFonts w:ascii="Arial" w:eastAsia="Calibri" w:hAnsi="Arial" w:cs="Arial"/>
                <w:sz w:val="20"/>
                <w:szCs w:val="20"/>
              </w:rPr>
            </w:pPr>
            <w:r w:rsidRPr="008722CE">
              <w:rPr>
                <w:rFonts w:ascii="Arial" w:eastAsia="Calibri" w:hAnsi="Arial" w:cs="Arial"/>
                <w:sz w:val="20"/>
                <w:szCs w:val="20"/>
              </w:rPr>
              <w:t>Площадь отремонтированных (капитально отремонтированных) автомобильных дорог общего пользования местного значения</w:t>
            </w:r>
          </w:p>
        </w:tc>
        <w:tc>
          <w:tcPr>
            <w:tcW w:w="1417"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м</w:t>
            </w:r>
            <w:r w:rsidRPr="008722CE">
              <w:rPr>
                <w:rFonts w:ascii="Arial" w:eastAsia="Calibri" w:hAnsi="Arial" w:cs="Arial"/>
                <w:sz w:val="20"/>
                <w:szCs w:val="20"/>
                <w:vertAlign w:val="superscript"/>
              </w:rPr>
              <w:t>2</w:t>
            </w:r>
          </w:p>
        </w:tc>
        <w:tc>
          <w:tcPr>
            <w:tcW w:w="4678" w:type="dxa"/>
          </w:tcPr>
          <w:p w:rsidR="00A60B82" w:rsidRPr="008722CE" w:rsidRDefault="00A60B82" w:rsidP="00A60B82">
            <w:pPr>
              <w:rPr>
                <w:rFonts w:ascii="Arial" w:eastAsia="Calibri" w:hAnsi="Arial" w:cs="Arial"/>
                <w:sz w:val="20"/>
                <w:szCs w:val="20"/>
              </w:rPr>
            </w:pPr>
            <w:r w:rsidRPr="008722CE">
              <w:rPr>
                <w:rFonts w:ascii="Arial" w:eastAsia="Calibri" w:hAnsi="Arial" w:cs="Arial"/>
                <w:sz w:val="20"/>
                <w:szCs w:val="20"/>
              </w:rPr>
              <w:t>Значение показателя определяется исходя из планов на соответствующий год по площади ремонта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A60B82" w:rsidRPr="00A60B82" w:rsidTr="00FF4770">
        <w:tc>
          <w:tcPr>
            <w:tcW w:w="540"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3</w:t>
            </w:r>
          </w:p>
        </w:tc>
        <w:tc>
          <w:tcPr>
            <w:tcW w:w="1553"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2</w:t>
            </w:r>
          </w:p>
        </w:tc>
        <w:tc>
          <w:tcPr>
            <w:tcW w:w="1559"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04</w:t>
            </w:r>
          </w:p>
        </w:tc>
        <w:tc>
          <w:tcPr>
            <w:tcW w:w="1559"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07</w:t>
            </w:r>
          </w:p>
        </w:tc>
        <w:tc>
          <w:tcPr>
            <w:tcW w:w="3686" w:type="dxa"/>
          </w:tcPr>
          <w:p w:rsidR="00A60B82" w:rsidRPr="008722CE" w:rsidRDefault="00A60B82" w:rsidP="00A60B82">
            <w:pPr>
              <w:rPr>
                <w:rFonts w:ascii="Arial" w:eastAsia="Calibri" w:hAnsi="Arial" w:cs="Arial"/>
                <w:sz w:val="20"/>
                <w:szCs w:val="20"/>
              </w:rPr>
            </w:pPr>
            <w:r w:rsidRPr="008722CE">
              <w:rPr>
                <w:rFonts w:ascii="Arial" w:eastAsia="Calibri" w:hAnsi="Arial" w:cs="Arial"/>
                <w:sz w:val="20"/>
                <w:szCs w:val="20"/>
              </w:rPr>
              <w:t>Создание парковочного пространства на улично-дорожной сети</w:t>
            </w:r>
          </w:p>
        </w:tc>
        <w:tc>
          <w:tcPr>
            <w:tcW w:w="1417"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шт.</w:t>
            </w:r>
          </w:p>
        </w:tc>
        <w:tc>
          <w:tcPr>
            <w:tcW w:w="4678" w:type="dxa"/>
          </w:tcPr>
          <w:p w:rsidR="00A60B82" w:rsidRPr="008722CE" w:rsidRDefault="00A60B82" w:rsidP="00A60B82">
            <w:pPr>
              <w:rPr>
                <w:rFonts w:ascii="Arial" w:eastAsia="Calibri" w:hAnsi="Arial" w:cs="Arial"/>
                <w:sz w:val="20"/>
                <w:szCs w:val="20"/>
              </w:rPr>
            </w:pPr>
            <w:r w:rsidRPr="008722CE">
              <w:rPr>
                <w:rFonts w:ascii="Arial" w:eastAsia="Calibri" w:hAnsi="Arial" w:cs="Arial"/>
                <w:sz w:val="20"/>
                <w:szCs w:val="20"/>
              </w:rPr>
              <w:t>Значение показателя определяется прямым счетом в виде количества машино-мест, запланированных к созданию на улично-дорожной сети местного значения в соответствующем году</w:t>
            </w:r>
          </w:p>
        </w:tc>
      </w:tr>
      <w:tr w:rsidR="00A60B82" w:rsidRPr="00A60B82" w:rsidTr="00FF4770">
        <w:tc>
          <w:tcPr>
            <w:tcW w:w="540"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4</w:t>
            </w:r>
          </w:p>
        </w:tc>
        <w:tc>
          <w:tcPr>
            <w:tcW w:w="1553"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2</w:t>
            </w:r>
          </w:p>
        </w:tc>
        <w:tc>
          <w:tcPr>
            <w:tcW w:w="1559"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04</w:t>
            </w:r>
          </w:p>
        </w:tc>
        <w:tc>
          <w:tcPr>
            <w:tcW w:w="1559"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08</w:t>
            </w:r>
          </w:p>
        </w:tc>
        <w:tc>
          <w:tcPr>
            <w:tcW w:w="3686" w:type="dxa"/>
          </w:tcPr>
          <w:p w:rsidR="00A60B82" w:rsidRPr="008722CE" w:rsidRDefault="00A60B82" w:rsidP="00A60B82">
            <w:pPr>
              <w:rPr>
                <w:rFonts w:ascii="Arial" w:eastAsia="Calibri" w:hAnsi="Arial" w:cs="Arial"/>
                <w:sz w:val="20"/>
                <w:szCs w:val="20"/>
              </w:rPr>
            </w:pPr>
            <w:r w:rsidRPr="008722CE">
              <w:rPr>
                <w:rFonts w:ascii="Arial" w:eastAsia="Calibri" w:hAnsi="Arial" w:cs="Arial"/>
                <w:sz w:val="20"/>
                <w:szCs w:val="20"/>
              </w:rPr>
              <w:t>Финансирование мероприятий по дорожной деятельности в отношении автомобильных дорог местного значения</w:t>
            </w:r>
          </w:p>
        </w:tc>
        <w:tc>
          <w:tcPr>
            <w:tcW w:w="1417" w:type="dxa"/>
          </w:tcPr>
          <w:p w:rsidR="00A60B82" w:rsidRPr="008722CE" w:rsidRDefault="00A60B82" w:rsidP="00A60B82">
            <w:pPr>
              <w:jc w:val="center"/>
              <w:rPr>
                <w:rFonts w:ascii="Arial" w:eastAsia="Calibri" w:hAnsi="Arial" w:cs="Arial"/>
                <w:sz w:val="20"/>
                <w:szCs w:val="20"/>
              </w:rPr>
            </w:pPr>
            <w:r w:rsidRPr="008722CE">
              <w:rPr>
                <w:rFonts w:ascii="Arial" w:eastAsia="Calibri" w:hAnsi="Arial" w:cs="Arial"/>
                <w:sz w:val="20"/>
                <w:szCs w:val="20"/>
              </w:rPr>
              <w:t>%</w:t>
            </w:r>
          </w:p>
        </w:tc>
        <w:tc>
          <w:tcPr>
            <w:tcW w:w="4678" w:type="dxa"/>
          </w:tcPr>
          <w:p w:rsidR="00A60B82" w:rsidRPr="008722CE" w:rsidRDefault="008722CE" w:rsidP="00A60B82">
            <w:pPr>
              <w:rPr>
                <w:rFonts w:ascii="Arial" w:eastAsia="Calibri" w:hAnsi="Arial" w:cs="Arial"/>
                <w:sz w:val="20"/>
                <w:szCs w:val="20"/>
              </w:rPr>
            </w:pPr>
            <w:r>
              <w:rPr>
                <w:rFonts w:ascii="Arial" w:eastAsia="Calibri" w:hAnsi="Arial" w:cs="Arial"/>
                <w:sz w:val="20"/>
                <w:szCs w:val="20"/>
              </w:rPr>
              <w:t xml:space="preserve">Значение показателя определяется </w:t>
            </w:r>
            <w:r w:rsidR="004F5170">
              <w:rPr>
                <w:rFonts w:ascii="Arial" w:eastAsia="Calibri" w:hAnsi="Arial" w:cs="Arial"/>
                <w:sz w:val="20"/>
                <w:szCs w:val="20"/>
              </w:rPr>
              <w:t xml:space="preserve">как отношение планового объёма финансирования </w:t>
            </w:r>
            <w:r>
              <w:rPr>
                <w:rFonts w:ascii="Arial" w:eastAsia="Calibri" w:hAnsi="Arial" w:cs="Arial"/>
                <w:sz w:val="20"/>
                <w:szCs w:val="20"/>
              </w:rPr>
              <w:t xml:space="preserve"> дорожной деятельности к фактическому </w:t>
            </w:r>
            <w:r w:rsidR="004F5170">
              <w:rPr>
                <w:rFonts w:ascii="Arial" w:eastAsia="Calibri" w:hAnsi="Arial" w:cs="Arial"/>
                <w:sz w:val="20"/>
                <w:szCs w:val="20"/>
              </w:rPr>
              <w:t>объёму финансирования</w:t>
            </w:r>
            <w:r>
              <w:rPr>
                <w:rFonts w:ascii="Arial" w:eastAsia="Calibri" w:hAnsi="Arial" w:cs="Arial"/>
                <w:sz w:val="20"/>
                <w:szCs w:val="20"/>
              </w:rPr>
              <w:t xml:space="preserve"> дорожной деятельности</w:t>
            </w:r>
          </w:p>
        </w:tc>
      </w:tr>
    </w:tbl>
    <w:p w:rsidR="00A60B82" w:rsidRPr="00A60B82" w:rsidRDefault="00A60B82" w:rsidP="00A60B82">
      <w:pPr>
        <w:spacing w:after="0" w:line="240" w:lineRule="auto"/>
        <w:jc w:val="center"/>
        <w:rPr>
          <w:rFonts w:ascii="Times New Roman" w:eastAsia="Calibri" w:hAnsi="Times New Roman" w:cs="Times New Roman"/>
          <w:sz w:val="24"/>
        </w:rPr>
      </w:pPr>
    </w:p>
    <w:p w:rsidR="00A60B82" w:rsidRPr="00A60B82" w:rsidRDefault="00A60B82" w:rsidP="00A60B82">
      <w:pPr>
        <w:spacing w:after="200" w:line="276" w:lineRule="auto"/>
        <w:contextualSpacing/>
        <w:jc w:val="both"/>
        <w:rPr>
          <w:rFonts w:ascii="Times New Roman" w:eastAsia="Calibri" w:hAnsi="Times New Roman" w:cs="Times New Roman"/>
          <w:sz w:val="24"/>
          <w:szCs w:val="24"/>
        </w:rPr>
      </w:pPr>
    </w:p>
    <w:p w:rsidR="00B72E1A" w:rsidRDefault="00003D2A"/>
    <w:sectPr w:rsidR="00B72E1A" w:rsidSect="00660204">
      <w:headerReference w:type="first" r:id="rId6"/>
      <w:footnotePr>
        <w:numStart w:val="2"/>
      </w:footnotePr>
      <w:pgSz w:w="16838" w:h="11906" w:orient="landscape"/>
      <w:pgMar w:top="1134" w:right="567" w:bottom="1134" w:left="1134" w:header="709" w:footer="709" w:gutter="0"/>
      <w:pgNumType w:start="14"/>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D2A" w:rsidRDefault="00003D2A" w:rsidP="00660204">
      <w:pPr>
        <w:spacing w:after="0" w:line="240" w:lineRule="auto"/>
      </w:pPr>
      <w:r>
        <w:separator/>
      </w:r>
    </w:p>
  </w:endnote>
  <w:endnote w:type="continuationSeparator" w:id="0">
    <w:p w:rsidR="00003D2A" w:rsidRDefault="00003D2A" w:rsidP="00660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D2A" w:rsidRDefault="00003D2A" w:rsidP="00660204">
      <w:pPr>
        <w:spacing w:after="0" w:line="240" w:lineRule="auto"/>
      </w:pPr>
      <w:r>
        <w:separator/>
      </w:r>
    </w:p>
  </w:footnote>
  <w:footnote w:type="continuationSeparator" w:id="0">
    <w:p w:rsidR="00003D2A" w:rsidRDefault="00003D2A" w:rsidP="00660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329309"/>
      <w:docPartObj>
        <w:docPartGallery w:val="Page Numbers (Top of Page)"/>
        <w:docPartUnique/>
      </w:docPartObj>
    </w:sdtPr>
    <w:sdtContent>
      <w:p w:rsidR="00660204" w:rsidRDefault="00660204">
        <w:pPr>
          <w:pStyle w:val="a6"/>
          <w:jc w:val="center"/>
        </w:pPr>
        <w:r>
          <w:fldChar w:fldCharType="begin"/>
        </w:r>
        <w:r>
          <w:instrText>PAGE   \* MERGEFORMAT</w:instrText>
        </w:r>
        <w:r>
          <w:fldChar w:fldCharType="separate"/>
        </w:r>
        <w:r>
          <w:rPr>
            <w:noProof/>
          </w:rPr>
          <w:t>14</w:t>
        </w:r>
        <w:r>
          <w:fldChar w:fldCharType="end"/>
        </w:r>
      </w:p>
    </w:sdtContent>
  </w:sdt>
  <w:p w:rsidR="00660204" w:rsidRDefault="0066020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B82"/>
    <w:rsid w:val="00003D2A"/>
    <w:rsid w:val="004F5170"/>
    <w:rsid w:val="00660204"/>
    <w:rsid w:val="007D5558"/>
    <w:rsid w:val="008722CE"/>
    <w:rsid w:val="00A60B82"/>
    <w:rsid w:val="00C95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2BF65"/>
  <w15:chartTrackingRefBased/>
  <w15:docId w15:val="{93CC6292-875B-4AF3-AE91-2277261AD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A60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A60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722C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722CE"/>
    <w:rPr>
      <w:rFonts w:ascii="Segoe UI" w:hAnsi="Segoe UI" w:cs="Segoe UI"/>
      <w:sz w:val="18"/>
      <w:szCs w:val="18"/>
    </w:rPr>
  </w:style>
  <w:style w:type="paragraph" w:styleId="a6">
    <w:name w:val="header"/>
    <w:basedOn w:val="a"/>
    <w:link w:val="a7"/>
    <w:uiPriority w:val="99"/>
    <w:unhideWhenUsed/>
    <w:rsid w:val="0066020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0204"/>
  </w:style>
  <w:style w:type="paragraph" w:styleId="a8">
    <w:name w:val="footer"/>
    <w:basedOn w:val="a"/>
    <w:link w:val="a9"/>
    <w:uiPriority w:val="99"/>
    <w:unhideWhenUsed/>
    <w:rsid w:val="0066020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60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238</Words>
  <Characters>1357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SW Tech AIO</cp:lastModifiedBy>
  <cp:revision>5</cp:revision>
  <cp:lastPrinted>2023-04-07T09:52:00Z</cp:lastPrinted>
  <dcterms:created xsi:type="dcterms:W3CDTF">2023-04-06T14:49:00Z</dcterms:created>
  <dcterms:modified xsi:type="dcterms:W3CDTF">2023-04-07T09:53:00Z</dcterms:modified>
</cp:coreProperties>
</file>