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0C" w:rsidRDefault="0002340C">
      <w:pPr>
        <w:keepNext/>
        <w:widowControl/>
        <w:suppressAutoHyphens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4B7D7A" w:rsidRDefault="00C923A2">
      <w:pPr>
        <w:pStyle w:val="1"/>
        <w:keepNext/>
        <w:widowControl/>
        <w:numPr>
          <w:ilvl w:val="0"/>
          <w:numId w:val="2"/>
        </w:numPr>
        <w:suppressAutoHyphens/>
        <w:spacing w:before="0" w:after="0"/>
        <w:ind w:left="1701" w:firstLine="0"/>
        <w:jc w:val="left"/>
        <w:rPr>
          <w:rFonts w:ascii="Times New Roman" w:hAnsi="Times New Roman" w:cs="Times New Roman"/>
          <w:b w:val="0"/>
          <w:sz w:val="30"/>
          <w:szCs w:val="30"/>
        </w:rPr>
      </w:pPr>
      <w:r>
        <w:rPr>
          <w:noProof/>
        </w:rPr>
        <w:drawing>
          <wp:anchor distT="0" distB="0" distL="114300" distR="118110" simplePos="0" relativeHeight="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-50165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4B7D7A" w:rsidRPr="005C4BC4" w:rsidRDefault="00C923A2" w:rsidP="00CE25DE">
      <w:pPr>
        <w:pStyle w:val="3"/>
        <w:keepLines w:val="0"/>
        <w:widowControl/>
        <w:suppressAutoHyphens/>
        <w:spacing w:before="240"/>
        <w:ind w:left="3130" w:firstLine="0"/>
        <w:jc w:val="left"/>
        <w:rPr>
          <w:rFonts w:ascii="Times New Roman" w:hAnsi="Times New Roman"/>
          <w:b/>
          <w:sz w:val="46"/>
          <w:szCs w:val="46"/>
          <w:lang w:val="en-US"/>
        </w:rPr>
      </w:pPr>
      <w:bookmarkStart w:id="0" w:name="_GoBack"/>
      <w:bookmarkEnd w:id="0"/>
      <w:r w:rsidRPr="005C4BC4">
        <w:rPr>
          <w:rFonts w:ascii="Times New Roman" w:hAnsi="Times New Roman"/>
          <w:b/>
          <w:sz w:val="46"/>
          <w:szCs w:val="46"/>
          <w:lang w:val="en-US"/>
        </w:rPr>
        <w:t xml:space="preserve"> </w:t>
      </w:r>
      <w:r w:rsidRPr="005C4BC4">
        <w:rPr>
          <w:rFonts w:ascii="Times New Roman" w:hAnsi="Times New Roman"/>
          <w:b/>
          <w:sz w:val="46"/>
          <w:szCs w:val="46"/>
        </w:rPr>
        <w:t>ПОСТАНОВЛЕНИЕ</w:t>
      </w:r>
    </w:p>
    <w:p w:rsidR="004B7D7A" w:rsidRDefault="004B7D7A">
      <w:pPr>
        <w:suppressAutoHyphens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</w:p>
    <w:p w:rsidR="004B7D7A" w:rsidRDefault="00CE25D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lang w:eastAsia="ar-SA"/>
        </w:rPr>
        <w:t xml:space="preserve">    </w:t>
      </w:r>
      <w:proofErr w:type="gramStart"/>
      <w:r w:rsidR="00C923A2" w:rsidRPr="005C4BC4">
        <w:rPr>
          <w:rFonts w:ascii="Times New Roman" w:hAnsi="Times New Roman" w:cs="Times New Roman"/>
          <w:b/>
          <w:bCs/>
          <w:sz w:val="28"/>
          <w:lang w:eastAsia="ar-SA"/>
        </w:rPr>
        <w:t>от</w:t>
      </w:r>
      <w:proofErr w:type="gramEnd"/>
      <w:r w:rsidR="005C4BC4">
        <w:rPr>
          <w:rFonts w:ascii="Times New Roman" w:hAnsi="Times New Roman" w:cs="Times New Roman"/>
          <w:bCs/>
          <w:sz w:val="28"/>
          <w:lang w:eastAsia="ar-SA"/>
        </w:rPr>
        <w:t xml:space="preserve"> 28.12.2023</w:t>
      </w:r>
      <w:r w:rsidR="00C923A2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923A2" w:rsidRPr="005C4BC4">
        <w:rPr>
          <w:rFonts w:ascii="Times New Roman" w:hAnsi="Times New Roman" w:cs="Times New Roman"/>
          <w:b/>
          <w:bCs/>
          <w:sz w:val="28"/>
          <w:lang w:eastAsia="ar-SA"/>
        </w:rPr>
        <w:t>№</w:t>
      </w:r>
      <w:r w:rsidR="005C4BC4">
        <w:rPr>
          <w:rFonts w:ascii="Times New Roman" w:hAnsi="Times New Roman" w:cs="Times New Roman"/>
          <w:bCs/>
          <w:sz w:val="28"/>
          <w:lang w:eastAsia="ar-SA"/>
        </w:rPr>
        <w:t xml:space="preserve"> 1357</w:t>
      </w:r>
    </w:p>
    <w:p w:rsidR="004B7D7A" w:rsidRDefault="004B7D7A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B7D7A" w:rsidRDefault="004B7D7A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B7D7A" w:rsidRDefault="00C923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определения </w:t>
      </w:r>
    </w:p>
    <w:p w:rsidR="004B7D7A" w:rsidRDefault="005C4BC4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C923A2">
        <w:rPr>
          <w:rFonts w:ascii="Times New Roman" w:hAnsi="Times New Roman" w:cs="Times New Roman"/>
          <w:sz w:val="28"/>
          <w:szCs w:val="28"/>
        </w:rPr>
        <w:t>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23A2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23A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23A2">
        <w:rPr>
          <w:rFonts w:ascii="Times New Roman" w:hAnsi="Times New Roman" w:cs="Times New Roman"/>
          <w:sz w:val="28"/>
          <w:szCs w:val="28"/>
        </w:rPr>
        <w:t xml:space="preserve"> оказание </w:t>
      </w:r>
    </w:p>
    <w:p w:rsidR="004B7D7A" w:rsidRDefault="00C923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C4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bookmarkStart w:id="1" w:name="_Hlk112233251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«Реализация </w:t>
      </w:r>
    </w:p>
    <w:p w:rsidR="004B7D7A" w:rsidRDefault="00C923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="005C4B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общеразвивающих </w:t>
      </w:r>
    </w:p>
    <w:p w:rsidR="004B7D7A" w:rsidRDefault="00C923A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соответствии с социальным </w:t>
      </w:r>
    </w:p>
    <w:p w:rsidR="004B7D7A" w:rsidRDefault="00C923A2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сертификатом</w:t>
      </w:r>
      <w:bookmarkEnd w:id="1"/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B7D7A" w:rsidRDefault="004B7D7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B7D7A" w:rsidRDefault="00C923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приказа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Федерального закона от 06.10.2003 №131-ФЗ «Об общих принципах организации местного самоуправления в Российской Федерации», постановления Администрации городского округа Фрязино Московской области от 11.05.2023 №424 «Об организации оказания муниципальных услуг в социальной сфере», постановления Администрации городского округа Фрязино Московской области от 29.11.2021 №603 «Об утверждении Порядка формирования и финансового обеспечения выполнения муниципального задания муниципальными учреждениями городского округа Фрязино Московской области», постановления Администрации городского округа Фрязино Московской области от 02.08.2023 №723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сертификатом»,  постановления Администрации городского округа Фрязино Московской области от 02.08.2023 №722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>
        <w:rPr>
          <w:rFonts w:ascii="Times New Roman" w:hAnsi="Times New Roman"/>
          <w:bCs/>
          <w:sz w:val="28"/>
          <w:szCs w:val="28"/>
        </w:rPr>
        <w:lastRenderedPageBreak/>
        <w:t>муниципальных услуг в социальной сфере в соответствии с социальным сертификатом», руководствуясь Уставом городского округа Фрязино Московской области,</w:t>
      </w:r>
    </w:p>
    <w:p w:rsidR="004B7D7A" w:rsidRDefault="004B7D7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B7D7A" w:rsidRPr="005C4BC4" w:rsidRDefault="00C923A2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C4BC4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C4BC4">
        <w:rPr>
          <w:rFonts w:ascii="Times New Roman" w:hAnsi="Times New Roman"/>
          <w:b/>
          <w:bCs/>
          <w:sz w:val="28"/>
          <w:szCs w:val="28"/>
        </w:rPr>
        <w:t xml:space="preserve"> о с т а н о в л я ю:</w:t>
      </w:r>
    </w:p>
    <w:p w:rsidR="004B7D7A" w:rsidRDefault="004B7D7A">
      <w:pPr>
        <w:rPr>
          <w:rFonts w:ascii="Times New Roman" w:hAnsi="Times New Roman"/>
          <w:bCs/>
          <w:sz w:val="28"/>
          <w:szCs w:val="28"/>
        </w:rPr>
      </w:pPr>
    </w:p>
    <w:p w:rsidR="004B7D7A" w:rsidRDefault="00C923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Утвердить Порядок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 (прилагается).</w:t>
      </w:r>
    </w:p>
    <w:p w:rsidR="004B7D7A" w:rsidRDefault="00C923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Действие настоящего постановления распространить на правоотношения, возникшие с 01.01.2024.</w:t>
      </w:r>
    </w:p>
    <w:p w:rsidR="004B7D7A" w:rsidRDefault="00C923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bCs/>
          <w:sz w:val="28"/>
          <w:szCs w:val="28"/>
        </w:rPr>
        <w:t>Ключъ</w:t>
      </w:r>
      <w:proofErr w:type="spellEnd"/>
      <w:r>
        <w:rPr>
          <w:rFonts w:ascii="Times New Roman" w:hAnsi="Times New Roman"/>
          <w:bCs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4B7D7A" w:rsidRDefault="00C923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Ю.М. Шувалову.</w:t>
      </w:r>
    </w:p>
    <w:p w:rsidR="004B7D7A" w:rsidRDefault="004B7D7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B7D7A" w:rsidRDefault="00C923A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городского округа Фрязино                                                     Д.Р. Воробьев</w:t>
      </w: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7A" w:rsidRDefault="004B7D7A">
      <w:pPr>
        <w:suppressAutoHyphens/>
        <w:ind w:left="5812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B7D7A" w:rsidRDefault="004B7D7A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B7D7A" w:rsidRDefault="00C923A2">
      <w:pPr>
        <w:suppressAutoHyphens/>
        <w:ind w:left="5812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4B7D7A" w:rsidRDefault="00C923A2">
      <w:pPr>
        <w:suppressAutoHyphens/>
        <w:ind w:left="5812" w:firstLine="0"/>
        <w:jc w:val="left"/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</w:t>
      </w:r>
    </w:p>
    <w:p w:rsidR="004B7D7A" w:rsidRDefault="00C923A2">
      <w:pPr>
        <w:suppressAutoHyphens/>
        <w:ind w:left="5812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округа Фрязино</w:t>
      </w:r>
    </w:p>
    <w:p w:rsidR="004B7D7A" w:rsidRDefault="00C923A2">
      <w:pPr>
        <w:ind w:left="5812" w:firstLine="0"/>
        <w:jc w:val="left"/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28.12.2023 № 1357</w:t>
      </w:r>
    </w:p>
    <w:p w:rsidR="004B7D7A" w:rsidRDefault="004B7D7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D7A" w:rsidRDefault="004B7D7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D7A" w:rsidRDefault="00C923A2">
      <w:pPr>
        <w:suppressAutoHyphens/>
        <w:ind w:firstLine="85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B7D7A" w:rsidRDefault="004B7D7A">
      <w:pPr>
        <w:suppressAutoHyphens/>
        <w:ind w:firstLine="850"/>
        <w:rPr>
          <w:rFonts w:ascii="Times New Roman" w:hAnsi="Times New Roman" w:cs="Times New Roman"/>
          <w:sz w:val="28"/>
          <w:szCs w:val="28"/>
        </w:rPr>
      </w:pPr>
    </w:p>
    <w:p w:rsidR="004B7D7A" w:rsidRDefault="00C923A2">
      <w:pPr>
        <w:pStyle w:val="af4"/>
        <w:widowControl/>
        <w:numPr>
          <w:ilvl w:val="0"/>
          <w:numId w:val="1"/>
        </w:numPr>
        <w:tabs>
          <w:tab w:val="left" w:pos="0"/>
        </w:tabs>
        <w:suppressAutoHyphens/>
        <w:ind w:left="0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7D7A" w:rsidRDefault="00C923A2">
      <w:pPr>
        <w:pStyle w:val="af4"/>
        <w:widowControl/>
        <w:numPr>
          <w:ilvl w:val="1"/>
          <w:numId w:val="3"/>
        </w:numPr>
        <w:tabs>
          <w:tab w:val="left" w:pos="1134"/>
        </w:tabs>
        <w:suppressAutoHyphens/>
        <w:ind w:left="0" w:firstLine="850"/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 (далее - Порядок) устанавливает порядок определения величины составляющих базовых нормативов затрат.</w:t>
      </w:r>
    </w:p>
    <w:p w:rsidR="004B7D7A" w:rsidRDefault="00C923A2">
      <w:pPr>
        <w:pStyle w:val="af4"/>
        <w:widowControl/>
        <w:numPr>
          <w:ilvl w:val="1"/>
          <w:numId w:val="3"/>
        </w:numPr>
        <w:tabs>
          <w:tab w:val="left" w:pos="1134"/>
        </w:tabs>
        <w:suppressAutoHyphens/>
        <w:ind w:left="0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применяется органами местного самоуправления</w:t>
      </w:r>
    </w:p>
    <w:p w:rsidR="004B7D7A" w:rsidRDefault="00C923A2">
      <w:pPr>
        <w:widowControl/>
        <w:tabs>
          <w:tab w:val="left" w:pos="1134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Фрязино Московской области, которые выполняют функции учредителя организаций, реализующих дополнительные общеразвивающие программы, при оказании услуг по реализации дополнительных общеразвивающих программ в соответствии с социальным сертификатом как для муниципальных учреждений, так и для бюджетных, автономных учреждений, учредителем которых не являются органы местного самоуправления городского округа Фрязино Московской области, некоммерческих организаций и коммерческих организаций, индивидуальных предпринимателей. </w:t>
      </w:r>
    </w:p>
    <w:p w:rsidR="004B7D7A" w:rsidRDefault="00C923A2">
      <w:pPr>
        <w:pStyle w:val="af4"/>
        <w:widowControl/>
        <w:numPr>
          <w:ilvl w:val="1"/>
          <w:numId w:val="3"/>
        </w:numPr>
        <w:tabs>
          <w:tab w:val="left" w:pos="1134"/>
        </w:tabs>
        <w:suppressAutoHyphens/>
        <w:ind w:left="0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целях:</w:t>
      </w:r>
    </w:p>
    <w:p w:rsidR="004B7D7A" w:rsidRDefault="00C923A2">
      <w:pPr>
        <w:shd w:val="clear" w:color="auto" w:fill="FFFFFF"/>
        <w:tabs>
          <w:tab w:val="left" w:pos="902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экономически обоснованных механизмов и единых методов определения нормативных затрат на оказание муниципальных услуг по реализации дополнительных общеразвивающих программ;</w:t>
      </w:r>
    </w:p>
    <w:p w:rsidR="004B7D7A" w:rsidRDefault="00C923A2">
      <w:pPr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финансовой прозрачности процедур планирования объемов бюджетных ассигнований на финансовое обеспечение дополнительного образования.</w:t>
      </w:r>
    </w:p>
    <w:p w:rsidR="004B7D7A" w:rsidRPr="00C923A2" w:rsidRDefault="00C923A2" w:rsidP="00C923A2">
      <w:pPr>
        <w:pStyle w:val="af4"/>
        <w:widowControl/>
        <w:numPr>
          <w:ilvl w:val="1"/>
          <w:numId w:val="3"/>
        </w:numPr>
        <w:tabs>
          <w:tab w:val="left" w:pos="1134"/>
        </w:tabs>
        <w:suppressAutoHyphens/>
        <w:ind w:left="0" w:firstLine="850"/>
        <w:rPr>
          <w:rFonts w:ascii="Times New Roman" w:hAnsi="Times New Roman" w:cs="Times New Roman"/>
          <w:sz w:val="28"/>
          <w:szCs w:val="28"/>
        </w:rPr>
      </w:pPr>
      <w:r w:rsidRPr="00C923A2">
        <w:rPr>
          <w:rFonts w:ascii="Times New Roman" w:hAnsi="Times New Roman" w:cs="Times New Roman"/>
          <w:sz w:val="28"/>
          <w:szCs w:val="28"/>
        </w:rPr>
        <w:t>Образовательные организации, организации, осуществляющие обучение и реализующие дополнительные общеразвивающие программы в соответствии с социальным сертификатом, вправе установить цену оказания муниципальной услуги по реализации дополнительной общеразвивающей программы в расчете на человеко-час в размере, меньшем, чем нормативные затраты, рассчитанные в порядке, установленном настоящим Порядком, но не ниже, чем нормативные затраты на оказание такой услуги в соответствии с муниципальным заданием.</w:t>
      </w:r>
    </w:p>
    <w:p w:rsidR="004B7D7A" w:rsidRPr="00C923A2" w:rsidRDefault="00C923A2" w:rsidP="00C923A2">
      <w:pPr>
        <w:pStyle w:val="af4"/>
        <w:widowControl/>
        <w:numPr>
          <w:ilvl w:val="1"/>
          <w:numId w:val="3"/>
        </w:numPr>
        <w:tabs>
          <w:tab w:val="left" w:pos="1134"/>
        </w:tabs>
        <w:suppressAutoHyphens/>
        <w:ind w:left="0" w:firstLine="850"/>
        <w:rPr>
          <w:rFonts w:ascii="Times New Roman" w:hAnsi="Times New Roman" w:cs="Times New Roman"/>
          <w:sz w:val="28"/>
          <w:szCs w:val="28"/>
        </w:rPr>
      </w:pPr>
      <w:r w:rsidRPr="00C923A2">
        <w:rPr>
          <w:rFonts w:ascii="Times New Roman" w:hAnsi="Times New Roman" w:cs="Times New Roman"/>
          <w:sz w:val="28"/>
          <w:szCs w:val="28"/>
        </w:rPr>
        <w:t xml:space="preserve">Значения базового норматива затрат на оказание муниципальной услуги, утверждаются органом местного самоуправления, наделенным </w:t>
      </w:r>
      <w:r w:rsidRPr="00C923A2">
        <w:rPr>
          <w:rFonts w:ascii="Times New Roman" w:hAnsi="Times New Roman" w:cs="Times New Roman"/>
          <w:sz w:val="28"/>
          <w:szCs w:val="28"/>
        </w:rPr>
        <w:lastRenderedPageBreak/>
        <w:t>полномочиями определять и утверждать базовые нормативы затрат в соответствии с порядками, принятыми на основании пункта 4 статьи 69.2 Бюджетного кодекса РФ.</w:t>
      </w:r>
    </w:p>
    <w:p w:rsidR="004B7D7A" w:rsidRDefault="004B7D7A">
      <w:pPr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</w:p>
    <w:p w:rsidR="004B7D7A" w:rsidRDefault="00C923A2">
      <w:pPr>
        <w:pStyle w:val="af4"/>
        <w:widowControl/>
        <w:numPr>
          <w:ilvl w:val="0"/>
          <w:numId w:val="3"/>
        </w:numPr>
        <w:tabs>
          <w:tab w:val="left" w:pos="142"/>
        </w:tabs>
        <w:suppressAutoHyphens/>
        <w:ind w:left="0" w:firstLine="85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нормативных затрат на оказание муниципальных услуг по реализации дополнительных общеобразовательных общеразвивающих программ</w:t>
      </w:r>
    </w:p>
    <w:p w:rsidR="004B7D7A" w:rsidRDefault="004B7D7A">
      <w:pPr>
        <w:pStyle w:val="af3"/>
        <w:suppressAutoHyphens/>
        <w:ind w:firstLine="850"/>
        <w:rPr>
          <w:sz w:val="28"/>
          <w:szCs w:val="28"/>
        </w:rPr>
      </w:pPr>
    </w:p>
    <w:p w:rsidR="004B7D7A" w:rsidRPr="00C923A2" w:rsidRDefault="00C923A2" w:rsidP="00C923A2">
      <w:pPr>
        <w:pStyle w:val="af4"/>
        <w:numPr>
          <w:ilvl w:val="1"/>
          <w:numId w:val="3"/>
        </w:numPr>
        <w:suppressAutoHyphens/>
        <w:ind w:left="0" w:firstLine="850"/>
        <w:textAlignment w:val="baseline"/>
        <w:rPr>
          <w:rFonts w:ascii="Times New Roman" w:eastAsia="MS PGothic" w:hAnsi="Times New Roman" w:cs="Times New Roman"/>
          <w:bCs/>
          <w:sz w:val="28"/>
          <w:szCs w:val="28"/>
        </w:rPr>
      </w:pPr>
      <w:r w:rsidRPr="00C923A2">
        <w:rPr>
          <w:rFonts w:ascii="Times New Roman" w:eastAsia="MS PGothic" w:hAnsi="Times New Roman" w:cs="Times New Roman"/>
          <w:bCs/>
          <w:sz w:val="28"/>
          <w:szCs w:val="28"/>
        </w:rPr>
        <w:t xml:space="preserve"> Нормативные затраты на оказание муниципальных услуг по реализации дополнительных общеразвивающих программ определяются в расчете на человеко-час по каждому виду и направленности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Федеральным законом от 29.12.2012 № 273-ФЗ  "Об образовании в Российской Федерации" особенностей организации и осуществления образовательных услуг (для различных категорий обучающихся).</w:t>
      </w:r>
    </w:p>
    <w:p w:rsidR="004B7D7A" w:rsidRDefault="00C923A2">
      <w:pPr>
        <w:suppressAutoHyphens/>
        <w:ind w:firstLine="85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PGothic" w:hAnsi="Times New Roman" w:cs="Times New Roman"/>
          <w:bCs/>
          <w:sz w:val="28"/>
          <w:szCs w:val="28"/>
        </w:rPr>
        <w:t>Объем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PGothic" w:hAnsi="Times New Roman" w:cs="Times New Roman"/>
          <w:bCs/>
          <w:sz w:val="28"/>
          <w:szCs w:val="28"/>
        </w:rPr>
        <w:t xml:space="preserve">услуг по реализации дополнительных общеразвивающих программ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федеральными законами. </w:t>
      </w:r>
    </w:p>
    <w:p w:rsidR="004B7D7A" w:rsidRDefault="00C923A2">
      <w:pPr>
        <w:pStyle w:val="af4"/>
        <w:widowControl/>
        <w:numPr>
          <w:ilvl w:val="1"/>
          <w:numId w:val="3"/>
        </w:numPr>
        <w:shd w:val="clear" w:color="auto" w:fill="FFFFFF"/>
        <w:tabs>
          <w:tab w:val="left" w:pos="883"/>
        </w:tabs>
        <w:suppressAutoHyphens/>
        <w:ind w:left="0" w:firstLine="850"/>
      </w:pPr>
      <w:r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>
        <w:rPr>
          <w:rFonts w:ascii="Times New Roman" w:eastAsia="MS PGothic" w:hAnsi="Times New Roman" w:cs="Times New Roman"/>
          <w:bCs/>
          <w:sz w:val="28"/>
          <w:szCs w:val="28"/>
        </w:rPr>
        <w:t>оказание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PGothic" w:hAnsi="Times New Roman" w:cs="Times New Roman"/>
          <w:bCs/>
          <w:sz w:val="28"/>
          <w:szCs w:val="28"/>
        </w:rPr>
        <w:t>услуг по реализации дополнительных общеразвивающих программ определяются по следующей формуле: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iитог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  <m:sup>
                <m:r>
                  <w:rPr>
                    <w:rFonts w:ascii="Cambria Math" w:hAnsi="Cambria Math"/>
                  </w:rPr>
                  <m:t>i</m:t>
                </m:r>
              </m:sup>
            </m:sSubSup>
          </m:e>
        </m:nary>
      </m:oMath>
      <w:r>
        <w:rPr>
          <w:rFonts w:ascii="Times New Roman" w:hAnsi="Times New Roman" w:cs="Times New Roman"/>
          <w:sz w:val="28"/>
          <w:szCs w:val="28"/>
        </w:rPr>
        <w:t>, где</w:t>
      </w:r>
    </w:p>
    <w:p w:rsidR="004B7D7A" w:rsidRDefault="00C923A2">
      <w:pPr>
        <w:suppressAutoHyphens/>
        <w:ind w:firstLine="850"/>
        <w:rPr>
          <w:rFonts w:ascii="Times New Roman" w:eastAsia="MS PGothic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iитог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– нормативные затраты на оказание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-ой муниципальной услуги по реализации </w:t>
      </w:r>
      <w:r>
        <w:rPr>
          <w:rFonts w:ascii="Times New Roman" w:eastAsia="MS PGothic" w:hAnsi="Times New Roman" w:cs="Times New Roman"/>
          <w:bCs/>
          <w:sz w:val="28"/>
          <w:szCs w:val="28"/>
        </w:rPr>
        <w:t>дополнительных общеразвивающих программ;</w:t>
      </w:r>
    </w:p>
    <w:p w:rsidR="004B7D7A" w:rsidRDefault="00C923A2">
      <w:pPr>
        <w:suppressAutoHyphens/>
        <w:ind w:firstLine="85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>
        <w:rPr>
          <w:rFonts w:ascii="Times New Roman" w:eastAsia="MS PGothic" w:hAnsi="Times New Roman" w:cs="Times New Roman"/>
          <w:bCs/>
          <w:sz w:val="28"/>
          <w:szCs w:val="28"/>
        </w:rPr>
        <w:t xml:space="preserve">– объем затрат </w:t>
      </w:r>
      <w:r>
        <w:rPr>
          <w:rFonts w:ascii="Times New Roman" w:eastAsia="MS PGothic" w:hAnsi="Times New Roman" w:cs="Times New Roman"/>
          <w:bCs/>
          <w:sz w:val="28"/>
          <w:szCs w:val="28"/>
          <w:lang w:val="en-US"/>
        </w:rPr>
        <w:t>j</w:t>
      </w:r>
      <w:r>
        <w:rPr>
          <w:rFonts w:ascii="Times New Roman" w:eastAsia="MS PGothic" w:hAnsi="Times New Roman" w:cs="Times New Roman"/>
          <w:bCs/>
          <w:sz w:val="28"/>
          <w:szCs w:val="28"/>
        </w:rPr>
        <w:t>-той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>
        <w:rPr>
          <w:rFonts w:ascii="Times New Roman" w:eastAsia="MS PGothic" w:hAnsi="Times New Roman" w:cs="Times New Roman"/>
          <w:bCs/>
          <w:sz w:val="28"/>
          <w:szCs w:val="28"/>
        </w:rPr>
        <w:t>дополнительных общеразвивающих программ.</w:t>
      </w:r>
    </w:p>
    <w:p w:rsidR="004B7D7A" w:rsidRDefault="00C923A2">
      <w:pPr>
        <w:suppressAutoHyphens/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2.3. Размер затрат по j-той составляющей нормативных затрат на оказание единицы i-той муниципальной услуги </w:t>
      </w:r>
      <w:r>
        <w:rPr>
          <w:rFonts w:ascii="Times New Roman" w:eastAsia="MS PGothic" w:hAnsi="Times New Roman"/>
          <w:bCs/>
          <w:sz w:val="28"/>
          <w:szCs w:val="28"/>
        </w:rPr>
        <w:t>по реализации дополнительных общеразвивающих программ</w:t>
      </w:r>
      <w:r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iбаз</m:t>
              </m:r>
            </m:sup>
          </m:sSubSup>
          <m:r>
            <w:rPr>
              <w:rFonts w:ascii="Cambria Math" w:hAnsi="Cambria Math"/>
            </w:rPr>
            <m:t>*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П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ih</m:t>
              </m:r>
            </m:sup>
          </m:sSubSup>
        </m:oMath>
      </m:oMathPara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>: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iбаз</m:t>
            </m:r>
          </m:sup>
        </m:sSubSup>
      </m:oMath>
      <w:r>
        <w:rPr>
          <w:sz w:val="28"/>
          <w:szCs w:val="28"/>
        </w:rPr>
        <w:t> - размер j-той составляющей базовых нормативов затрат на оказание i-той муниципальной услуги по реализации дополнительных общеразвивающих программ;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>
        <w:rPr>
          <w:sz w:val="28"/>
          <w:szCs w:val="28"/>
        </w:rPr>
        <w:t> - значение территориального корректирующего коэффициента для j-той составляющей базовых нормативов затрат на оказание i-той муниципальной услуги, который применяется к составляющим базового норма</w:t>
      </w:r>
      <w:proofErr w:type="spellStart"/>
      <w:r>
        <w:rPr>
          <w:sz w:val="28"/>
          <w:szCs w:val="28"/>
        </w:rPr>
        <w:t>тива</w:t>
      </w:r>
      <w:proofErr w:type="spellEnd"/>
      <w:r>
        <w:rPr>
          <w:sz w:val="28"/>
          <w:szCs w:val="28"/>
        </w:rPr>
        <w:t xml:space="preserve"> затрат: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затраты на оплату труда и начисления на выплаты по оплате труда работников, непосредственно связанных с оказанием муниципальной услуги;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затраты на коммунальные услуги;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затраты на содержание недвижимого имущества;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затраты на оплату труда и начисления на выплаты по оплате труда работников, которые не принимают непосредственного участия в оказании муниципальной услуги (административно-хозяйственного, учебно-вспомогательного персонала, и иных работников, осуществляющих вспомогательные функции);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П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ih</m:t>
            </m:r>
          </m:sup>
        </m:sSubSup>
      </m:oMath>
      <w:r>
        <w:rPr>
          <w:sz w:val="28"/>
          <w:szCs w:val="28"/>
        </w:rPr>
        <w:t xml:space="preserve"> - произведение значений (с) отраслевых корректирующих коэффициентов для j-той составляющей базовых нормативов затрат на оказание i-той муниципальной услуги по h-тому отраслевому корректирующему коэффициенту.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  <w:shd w:val="clear" w:color="auto" w:fill="FFFFFF"/>
        </w:rPr>
        <w:t xml:space="preserve">2.4. Расчет значений составляющих базовых нормативов затрат на оказание муниципальных </w:t>
      </w:r>
      <w:r>
        <w:rPr>
          <w:rFonts w:eastAsia="MS PGothic"/>
          <w:bCs/>
          <w:sz w:val="28"/>
          <w:szCs w:val="28"/>
        </w:rPr>
        <w:t>услуг по реализации дополнительных общеразвивающих программ</w:t>
      </w:r>
      <w:r>
        <w:rPr>
          <w:sz w:val="28"/>
          <w:szCs w:val="28"/>
          <w:shd w:val="clear" w:color="auto" w:fill="FFFFFF"/>
        </w:rPr>
        <w:t xml:space="preserve"> осуществляется с учетом натуральных показателей трудовых, материальных и технических ресурсов, используемых для оказания муниципальной услуги.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  <w:shd w:val="clear" w:color="auto" w:fill="FFFFFF"/>
        </w:rPr>
        <w:t>2.5. Базовый норматив затрат на оказание муниципальной услуги состоит из базового норматива затрат, непосредственно связанных с оказанием муниципальной услуги, и базового норматива затрат на общехозяйственные нужды на оказание муниципальной услуги.</w:t>
      </w:r>
    </w:p>
    <w:p w:rsidR="004B7D7A" w:rsidRDefault="00C923A2" w:rsidP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2.6. 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услуги, по следующей формуле: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баз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ОТ1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</w:rPr>
                    <m:t>iбаз</m:t>
                  </m:r>
                </m:sub>
                <m:sup>
                  <m:r>
                    <w:rPr>
                      <w:rFonts w:ascii="Cambria Math" w:hAnsi="Cambria Math"/>
                    </w:rPr>
                    <m:t>МЗ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iбаз</m:t>
                  </m:r>
                </m:sub>
                <m:sup>
                  <m:r>
                    <w:rPr>
                      <w:rFonts w:ascii="Cambria Math" w:hAnsi="Cambria Math"/>
                    </w:rPr>
                    <m:t>ФР1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КУ1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СНИ1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СОЦДИ1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ДПО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МО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УЛ</m:t>
                  </m:r>
                </m:sup>
              </m:sSubSup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ОТ2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КУ2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СНИ2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СОЦДИ2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iбаз</m:t>
                  </m:r>
                </m:sub>
                <m:sup>
                  <m:r>
                    <w:rPr>
                      <w:rFonts w:ascii="Cambria Math" w:hAnsi="Cambria Math"/>
                    </w:rPr>
                    <m:t>ФР2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УС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ТУ</m:t>
                  </m:r>
                </m:sup>
              </m:sSubSup>
            </m:e>
          </m:d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  <w:highlight w:val="white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баз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базовый норматив затрат на оказание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-ой услуги по </w:t>
      </w:r>
      <w:r>
        <w:rPr>
          <w:rFonts w:ascii="Times New Roman" w:hAnsi="Times New Roman" w:cs="Times New Roman"/>
          <w:sz w:val="28"/>
          <w:szCs w:val="28"/>
        </w:rPr>
        <w:t>реализации дополнительных общеразвивающих программ;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  <w:highlight w:val="white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OT1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Затраты на фонд оплаты труда основного персонала на единицу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ФР1</m:t>
            </m:r>
          </m:sup>
        </m:sSubSup>
      </m:oMath>
      <w:r>
        <w:rPr>
          <w:sz w:val="28"/>
          <w:szCs w:val="28"/>
        </w:rPr>
        <w:t xml:space="preserve"> -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КУ1</m:t>
            </m:r>
          </m:sup>
        </m:sSubSup>
      </m:oMath>
      <w:r>
        <w:rPr>
          <w:sz w:val="28"/>
          <w:szCs w:val="28"/>
        </w:rPr>
        <w:t xml:space="preserve"> - Затраты на коммунальные услуги в части имущества, используемого в процессе оказания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СНИ1</m:t>
            </m:r>
          </m:sup>
        </m:sSubSup>
      </m:oMath>
      <w:r>
        <w:rPr>
          <w:sz w:val="28"/>
          <w:szCs w:val="28"/>
        </w:rPr>
        <w:t xml:space="preserve"> - Затраты на содержание объектов недвижимого имущества, используемого в процессе оказания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СОЦДИ1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Затраты на содержание особо ценного движимого имущества, используемого в процессе оказания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ДПО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Затраты, связанные с дополнительным профессиональным образованием педагогических работников по профилю их педагогической деятельности;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МО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проведение периодических медицинских осмотров работников;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УЛ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  <w:highlight w:val="white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OT2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Затраты на фонд оплаты труда персонала, непосредственно не участвующего в оказании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услуг,  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единицу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КУ2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в части имущества, необходимого для общехозяйственных нужд;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СНИ2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необходимого для общехозяйственных нужд;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СОЦДИ2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Затраты на содержание особо ценного движимого имущества, необходимого для общехозяйственных нужд;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ФР2</m:t>
            </m:r>
          </m:sup>
        </m:sSubSup>
      </m:oMath>
      <w:r>
        <w:rPr>
          <w:sz w:val="28"/>
          <w:szCs w:val="28"/>
        </w:rPr>
        <w:t xml:space="preserve"> - Затраты на формирование резерва на полное восстановление состава объектов особо ценного движимого имущества необходимого для общехозяйственных нужд;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УС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УТ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приобретение транспортных услуг.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2.7. Затраты на фонд оплаты труда основного персонала определяются по формуле: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OT1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стр</m:t>
                  </m:r>
                </m:sub>
              </m:sSub>
              <m:r>
                <w:rPr>
                  <w:rFonts w:ascii="Cambria Math" w:hAnsi="Cambria Math"/>
                </w:rPr>
                <m:t>*12</m:t>
              </m:r>
            </m:num>
            <m:den>
              <m:r>
                <w:rPr>
                  <w:rFonts w:ascii="Cambria Math" w:hAnsi="Cambria Math"/>
                </w:rPr>
                <m:t>Qi</m:t>
              </m:r>
            </m:den>
          </m:f>
        </m:oMath>
      </m:oMathPara>
    </w:p>
    <w:p w:rsidR="004B7D7A" w:rsidRDefault="00C923A2">
      <w:pPr>
        <w:widowControl/>
        <w:shd w:val="clear" w:color="auto" w:fill="FFFFFF"/>
        <w:tabs>
          <w:tab w:val="left" w:pos="709"/>
        </w:tabs>
        <w:suppressAutoHyphens/>
        <w:ind w:firstLine="850"/>
        <w:rPr>
          <w:rFonts w:ascii="Times New Roman" w:hAnsi="Times New Roman" w:cs="Times New Roman"/>
          <w:sz w:val="28"/>
          <w:szCs w:val="28"/>
          <w:highlight w:val="white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OT1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Затраты на фонд оплаты труда основного персонала </w:t>
      </w:r>
    </w:p>
    <w:p w:rsidR="004B7D7A" w:rsidRDefault="00C923A2">
      <w:pPr>
        <w:widowControl/>
        <w:shd w:val="clear" w:color="auto" w:fill="FFFFFF"/>
        <w:tabs>
          <w:tab w:val="left" w:pos="709"/>
        </w:tabs>
        <w:suppressAutoHyphens/>
        <w:ind w:firstLine="85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среднемесячной заработной платы в субъекте РФ;</w:t>
      </w:r>
    </w:p>
    <w:p w:rsidR="004B7D7A" w:rsidRDefault="00C923A2">
      <w:pPr>
        <w:pStyle w:val="formattext"/>
        <w:shd w:val="clear" w:color="auto" w:fill="FFFFFF"/>
        <w:tabs>
          <w:tab w:val="left" w:pos="709"/>
        </w:tabs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стр</m:t>
            </m:r>
          </m:sub>
        </m:sSub>
      </m:oMath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коэффициент, отражающий увеличение среднемесячной заработной платы с учетом ставки начислений на выплаты по оплате труда работников, непосредственно связанных с оказанием государственной услуги;</w:t>
      </w:r>
    </w:p>
    <w:p w:rsidR="004B7D7A" w:rsidRDefault="00C923A2">
      <w:pPr>
        <w:pStyle w:val="formattext"/>
        <w:shd w:val="clear" w:color="auto" w:fill="FFFFFF"/>
        <w:tabs>
          <w:tab w:val="left" w:pos="709"/>
        </w:tabs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12 - количество месяцев в году;</w:t>
      </w:r>
    </w:p>
    <w:p w:rsidR="004B7D7A" w:rsidRDefault="00C923A2">
      <w:pPr>
        <w:widowControl/>
        <w:shd w:val="clear" w:color="auto" w:fill="FFFFFF"/>
        <w:tabs>
          <w:tab w:val="left" w:pos="709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показатель объема оказания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-ой услуги,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(значение устанавливается уполномоченным органом).</w:t>
      </w:r>
    </w:p>
    <w:p w:rsidR="004B7D7A" w:rsidRDefault="00C923A2">
      <w:pPr>
        <w:widowControl/>
        <w:shd w:val="clear" w:color="auto" w:fill="FFFFFF"/>
        <w:tabs>
          <w:tab w:val="left" w:pos="709"/>
        </w:tabs>
        <w:suppressAutoHyphens/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2.8. 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 по реализации дополнительных </w:t>
      </w:r>
      <w:r>
        <w:rPr>
          <w:rFonts w:ascii="Times New Roman" w:hAnsi="Times New Roman"/>
          <w:sz w:val="28"/>
          <w:szCs w:val="28"/>
        </w:rPr>
        <w:t>общеразвивающих программ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 учетом срока полезного использования определяются на основании типового перечня материальных запасов и движимого имущества.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перечни материальных запасов и движимого имущества, потребляемых в процессе оказания муниципальной услуги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 дополнительных общеразвивающих программ, формируются Уполномоченным органом в целях расчета затрат на приобретение материальных запасов в составе базового норматива затрат.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 по реализации дополнительных общеразвивающих программ рассчитываются по формуле: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iбаз</m:t>
              </m:r>
            </m:sub>
            <m:sup>
              <m:r>
                <w:rPr>
                  <w:rFonts w:ascii="Cambria Math" w:hAnsi="Cambria Math"/>
                </w:rPr>
                <m:t>МЗ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к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*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к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МЗ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к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МЗ</m:t>
                      </m:r>
                    </m:sup>
                  </m:sSubSup>
                </m:den>
              </m:f>
            </m:e>
          </m:nary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движимого имущества (основных средств и нематериальных активов), используемого в процессе оказания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ik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 объем k-того вида материального запаса и движимого имущества (основных средств и нематериальных активов), не отнес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особо ценному движимому имуществу и используемого в процессе оказания муниципальной услуги, включенного в типовой перечень материальных запасов, в расчете на единицу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к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стоимость единицы k-того вида матери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запаса и движимого имущества (основных средств и нематериальных активов), не отнесенного к особо ценному движимому имуществу;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к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срок полезного использования k-ого вида материального запаса (движимого имущества) (основных средств и нематериальных активов), не отнесенного к особо ценному движимому имуществу.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2.9.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(основных средств и нематериальных активов, амортизируемых в процессе оказания услуги), с учетом срока их полезного использования в процессе оказания i-й муниципальной услуги, определяются на основании типового перечня объектов особо ценного движимого имущества, непосредственно используемого в процессе оказания муниципальной услуги по реализации дополнительных </w:t>
      </w:r>
      <w:r>
        <w:rPr>
          <w:rFonts w:ascii="Times New Roman" w:hAnsi="Times New Roman"/>
          <w:sz w:val="28"/>
          <w:szCs w:val="28"/>
        </w:rPr>
        <w:t>общеразвивающих программ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> 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</w:t>
      </w:r>
      <w:r>
        <w:rPr>
          <w:sz w:val="28"/>
          <w:szCs w:val="28"/>
          <w:shd w:val="clear" w:color="auto" w:fill="FFFFFF"/>
        </w:rPr>
        <w:t xml:space="preserve">по реализации дополнительных </w:t>
      </w:r>
      <w:r>
        <w:rPr>
          <w:sz w:val="28"/>
          <w:szCs w:val="28"/>
        </w:rPr>
        <w:t xml:space="preserve">общеразвивающих программ определяются как объем годовой расчетной суммы амортизации особо ценного движимого имущества, непосредственно используемого в процессе оказания муниципальной услуги </w:t>
      </w:r>
      <w:r>
        <w:rPr>
          <w:sz w:val="28"/>
          <w:szCs w:val="28"/>
          <w:shd w:val="clear" w:color="auto" w:fill="FFFFFF"/>
        </w:rPr>
        <w:t xml:space="preserve">по реализации дополнительных </w:t>
      </w:r>
      <w:r>
        <w:rPr>
          <w:sz w:val="28"/>
          <w:szCs w:val="28"/>
        </w:rPr>
        <w:t>общеразвивающих программ по формуле: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iбаз</m:t>
              </m:r>
            </m:sub>
            <m:sup>
              <m:r>
                <w:rPr>
                  <w:rFonts w:ascii="Cambria Math" w:hAnsi="Cambria Math"/>
                </w:rPr>
                <m:t>ФР1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к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ФР1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*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ФР1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к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ФР1</m:t>
                      </m:r>
                    </m:sup>
                  </m:sSubSup>
                </m:den>
              </m:f>
            </m:e>
          </m:nary>
        </m:oMath>
      </m:oMathPara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ФР1</m:t>
            </m:r>
          </m:sup>
        </m:sSubSup>
      </m:oMath>
      <w:r>
        <w:rPr>
          <w:sz w:val="28"/>
          <w:szCs w:val="28"/>
        </w:rPr>
        <w:t xml:space="preserve"> - Затраты на формирование резерва на полное в</w:t>
      </w:r>
      <w:proofErr w:type="spellStart"/>
      <w:r>
        <w:rPr>
          <w:sz w:val="28"/>
          <w:szCs w:val="28"/>
        </w:rPr>
        <w:t>осстановление</w:t>
      </w:r>
      <w:proofErr w:type="spellEnd"/>
      <w:r>
        <w:rPr>
          <w:sz w:val="28"/>
          <w:szCs w:val="28"/>
        </w:rPr>
        <w:t xml:space="preserve"> состава объектов особо ценного движимого имущества используемого в процессе оказания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ik</m:t>
            </m:r>
          </m:sub>
          <m:sup>
            <m:r>
              <w:rPr>
                <w:rFonts w:ascii="Cambria Math" w:hAnsi="Cambria Math"/>
              </w:rPr>
              <m:t>ФР1</m:t>
            </m:r>
          </m:sup>
        </m:sSubSup>
      </m:oMath>
      <w:r>
        <w:rPr>
          <w:sz w:val="28"/>
          <w:szCs w:val="28"/>
        </w:rPr>
        <w:t>- количество k-ого объекта особо ценного движимого имущества, включенного в типовой перечень, в расчете на единицу оказания i-той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ФР1</m:t>
            </m:r>
          </m:sup>
        </m:sSubSup>
      </m:oMath>
      <w:r>
        <w:rPr>
          <w:sz w:val="28"/>
          <w:szCs w:val="28"/>
        </w:rPr>
        <w:t xml:space="preserve"> - стоимость единицы k-ого объекта особо ценного движимого имущества;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к</m:t>
            </m:r>
          </m:sub>
          <m:sup>
            <m:r>
              <w:rPr>
                <w:rFonts w:ascii="Cambria Math" w:hAnsi="Cambria Math"/>
              </w:rPr>
              <m:t>ФР1</m:t>
            </m:r>
          </m:sup>
        </m:sSubSup>
      </m:oMath>
      <w:r>
        <w:rPr>
          <w:sz w:val="28"/>
          <w:szCs w:val="28"/>
        </w:rPr>
        <w:t xml:space="preserve"> - срок полезного использования k-ого объекта особо ценного движимого имущества.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2.10. Затраты на коммунальные услуги в части имущества, используемого в процессе оказания муниципальной услуги</w:t>
      </w:r>
      <w:r>
        <w:rPr>
          <w:sz w:val="28"/>
          <w:szCs w:val="28"/>
          <w:shd w:val="clear" w:color="auto" w:fill="FFFFFF"/>
        </w:rPr>
        <w:t xml:space="preserve"> по реализации </w:t>
      </w:r>
      <w:r>
        <w:rPr>
          <w:sz w:val="28"/>
          <w:szCs w:val="28"/>
          <w:shd w:val="clear" w:color="auto" w:fill="FFFFFF"/>
        </w:rPr>
        <w:lastRenderedPageBreak/>
        <w:t xml:space="preserve">дополнительных </w:t>
      </w:r>
      <w:r>
        <w:rPr>
          <w:sz w:val="28"/>
          <w:szCs w:val="28"/>
        </w:rPr>
        <w:t xml:space="preserve">общеразвивающих программ, по решению Уполномоченного органа включают в себя: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затраты на холодное водоснабжение в расчете на единицу объема оказания муниципальной услуги;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затраты на горячее водоснабжение в расчете на единицу объема муниципальной услуги; затраты на водоотведение в расчете на единицу объема оказания муниципальной услуги;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затраты на электроснабжение в расчете на единицу объема оказания муниципальной услуги; затраты на теплоснабжение в расчете на единицу объема оказания муниципальной услуги; 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затраты на газоснабжение в расчете на единицу объема оказания муниципальной услуги; затраты на котельно-печное топливо в расчете на единицу объема оказания муниципальной услуги.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Затраты на коммунальные услуги в части имущества, используемого в процессе оказания муниципальной услуги</w:t>
      </w:r>
      <w:r>
        <w:rPr>
          <w:sz w:val="28"/>
          <w:szCs w:val="28"/>
          <w:shd w:val="clear" w:color="auto" w:fill="FFFFFF"/>
        </w:rPr>
        <w:t xml:space="preserve"> по реализации дополнительных </w:t>
      </w:r>
      <w:r>
        <w:rPr>
          <w:sz w:val="28"/>
          <w:szCs w:val="28"/>
        </w:rPr>
        <w:t>общеразвивающих программ, которые определяются по формуле: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КУ1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КУ1</m:t>
                  </m:r>
                </m:sup>
              </m:sSubSup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КУ1</m:t>
            </m:r>
          </m:sup>
        </m:sSubSup>
      </m:oMath>
      <w:r>
        <w:rPr>
          <w:sz w:val="28"/>
          <w:szCs w:val="28"/>
        </w:rPr>
        <w:t xml:space="preserve"> - Затраты на коммунальные услуги в части имущества, используемого в процессе оказания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КУ1</m:t>
            </m:r>
          </m:sup>
        </m:sSubSup>
      </m:oMath>
      <w:r>
        <w:rPr>
          <w:sz w:val="28"/>
          <w:szCs w:val="28"/>
        </w:rPr>
        <w:t xml:space="preserve"> - объем потребления j-того вида коммунальных услуг в части имущества, используемого в процессе оказания муниципальной услуги, в расчете на единицу оказания i-той му</w:t>
      </w:r>
      <w:proofErr w:type="spellStart"/>
      <w:r>
        <w:rPr>
          <w:sz w:val="28"/>
          <w:szCs w:val="28"/>
        </w:rPr>
        <w:t>ниципальной</w:t>
      </w:r>
      <w:proofErr w:type="spellEnd"/>
      <w:r>
        <w:rPr>
          <w:sz w:val="28"/>
          <w:szCs w:val="28"/>
        </w:rPr>
        <w:t xml:space="preserve">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sz w:val="28"/>
          <w:szCs w:val="28"/>
        </w:rPr>
        <w:t xml:space="preserve"> - тариф на оплату j-того вида коммунальных услуг.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</w:rPr>
        <w:t>2.11. Состав и порядок расчета затрат на содержание объектов недвижимого имущества, используемого в процессе оказания муниципальной услуги</w:t>
      </w:r>
      <w:r>
        <w:rPr>
          <w:sz w:val="28"/>
          <w:szCs w:val="28"/>
          <w:shd w:val="clear" w:color="auto" w:fill="FFFFFF"/>
        </w:rPr>
        <w:t xml:space="preserve"> по реализации дополнительных </w:t>
      </w:r>
      <w:r>
        <w:rPr>
          <w:sz w:val="28"/>
          <w:szCs w:val="28"/>
        </w:rPr>
        <w:t>общеразвивающих программ, определяются органами местного самоуправления городского округа Фрязино Московской области. Затраты на содержание объектов недвижимого имущества, используемого в процессе оказания муниципальной услуги</w:t>
      </w:r>
      <w:r>
        <w:rPr>
          <w:sz w:val="28"/>
          <w:szCs w:val="28"/>
          <w:shd w:val="clear" w:color="auto" w:fill="FFFFFF"/>
        </w:rPr>
        <w:t xml:space="preserve"> по реализации дополнительных </w:t>
      </w:r>
      <w:r>
        <w:rPr>
          <w:sz w:val="28"/>
          <w:szCs w:val="28"/>
        </w:rPr>
        <w:t>общеразвивающих программ, по решению органов местного самоуправления городского округа Фрязино Московской области могут включать в себя: затраты на текущий ремонт и содержание недвижимого имущества в расчете на единицу оказания муниципальной услуги; затраты на вывоз твердых коммунальных (бытовых) отходов в расчете на единицу оказания муниципальной услуги; затраты на проведение дезинфекции, дезинсекции, дератизации помещений в части недвижимого имущества в расчете на единицу оказания муниципальной услуги; затраты на содержание прилегающей территории в расчете на единицу оказания муниципальной услуги; затраты на обеспечение физической охраны в расчете на единицу оказания муниципальной услуги; затраты на подзарядку огнетушителей в расчете на единицу оказания муниципальной услуги; затраты на техническое обслуживание комплекса технических средств охраны (обслуживание тревожной кнопки) в расчете на единицу оказания муниципальной услуги; затраты на проведение противопожарных мероприятий в расчете на единицу оказания муниципальной услуги; иные затраты по решению Уполномоченного органа в расчете на единицу оказания муниципальной услуги.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Затраты на содержание объектов недвижимого имущества, используемого в процессе оказания муниципальной услуги</w:t>
      </w:r>
      <w:r>
        <w:t xml:space="preserve"> </w:t>
      </w:r>
      <w:r>
        <w:rPr>
          <w:sz w:val="28"/>
          <w:szCs w:val="28"/>
        </w:rPr>
        <w:t>по реализации дополнительных общеразвивающих программ, определяются по формуле: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СНИ1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СНИ1</m:t>
                  </m:r>
                </m:sup>
              </m:sSubSup>
            </m:e>
          </m:nary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СНИ1</m:t>
            </m:r>
          </m:sup>
        </m:sSubSup>
      </m:oMath>
      <w:r>
        <w:rPr>
          <w:sz w:val="28"/>
          <w:szCs w:val="28"/>
        </w:rPr>
        <w:t xml:space="preserve"> - Затраты на содержание объектов недвижимого имущества, используемого в процессе оказания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СНИ1</m:t>
            </m:r>
          </m:sup>
        </m:sSubSup>
      </m:oMath>
      <w:r>
        <w:rPr>
          <w:sz w:val="28"/>
          <w:szCs w:val="28"/>
        </w:rPr>
        <w:t>- количество (объем) j-того товара (работы, услуги), закуп</w:t>
      </w:r>
      <w:proofErr w:type="spellStart"/>
      <w:r>
        <w:rPr>
          <w:sz w:val="28"/>
          <w:szCs w:val="28"/>
        </w:rPr>
        <w:t>аемого</w:t>
      </w:r>
      <w:proofErr w:type="spellEnd"/>
      <w:r>
        <w:rPr>
          <w:sz w:val="28"/>
          <w:szCs w:val="28"/>
        </w:rPr>
        <w:t xml:space="preserve"> в целях содержания объектов недвижимого имущества, используемого в процессе оказания муниципальной услуги, в расчете на единицу оказания i-той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sz w:val="28"/>
          <w:szCs w:val="28"/>
        </w:rPr>
        <w:t>- стоимость единицы j-того товара (работы, услуги), закупаемого в целях содержан</w:t>
      </w:r>
      <w:proofErr w:type="spellStart"/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объектов недвижимого имущества, используемого в процессе оказания муниципальной услуги.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</w:rPr>
        <w:t>2.12. Затраты на содержание особо ценного движимого имущества, используемого в процессе оказания муниципальной услуги</w:t>
      </w:r>
      <w:r>
        <w:t xml:space="preserve"> </w:t>
      </w:r>
      <w:r>
        <w:rPr>
          <w:sz w:val="28"/>
          <w:szCs w:val="28"/>
        </w:rPr>
        <w:t>по реализации дополнительных общеразвивающих программ, определяются на основании типового перечня особо ценного движимого имущества, непосредственно связанного с оказанием муниципальной услуги, по формуле: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СОЦДИ1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ОЦДИ1</m:t>
              </m:r>
            </m:sup>
          </m:sSubSup>
          <m:r>
            <w:rPr>
              <w:rFonts w:ascii="Cambria Math" w:hAnsi="Cambria Math"/>
            </w:rPr>
            <m:t>*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содержание1</m:t>
              </m:r>
            </m:sup>
          </m:sSubSup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СОЦДИ1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Затраты на содержание особо ценного движимого имущества, используемого в процессе оказания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ОЦДИ1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стоимость особо ценного движимого имущества, включенного в типовые перечни особо ценного движимого имущества, используемого в процессе оказания муниципальной услуги, в расчете на единицу оказания i-той государственного (муниципальной)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содержание1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процент от стоимости особо ценного движимого имущества, используемого в процессе оказания муниципальной услуги, который учитывается в целях обеспечения его содержания и определяется на основании усреднения фактических затрат государственных (муниципальных) учреждений, направляемых ими на соответствующие цели.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2.13. Иные затраты, непосредственно связанные с оказанием муниципальной услуги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дополнительных общеразвивающих программ, включают в себя: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затраты, связанные с дополнительным профессиональным образованием педагогических работников по профилю их педагогической деятельности;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проведение периодических медицинских осмотров работников;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муниципальной услуги;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- иные затраты, непосредственно связанные с оказанием муниципальной услуги по решению Уполномоченного органа.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2.14. Затраты,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формуле: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ДПО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ДПОПрог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ДПОНайм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ДПОСут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ДПО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Затраты, связанные с дополнительным профессиональным образованием педагогических работников по профилю их педагогической деятельности;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ДПОПрог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ДПОНайм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затраты,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i-той муниципальной услуги;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ДПОСут</m:t>
            </m:r>
          </m:sup>
        </m:sSubSup>
      </m:oMath>
      <w:r>
        <w:rPr>
          <w:sz w:val="28"/>
          <w:szCs w:val="28"/>
        </w:rPr>
        <w:t xml:space="preserve"> - 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количество педагогических работников, принимающих участие в оказании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r>
          <w:rPr>
            <w:rFonts w:ascii="Cambria Math" w:hAnsi="Cambria Math"/>
          </w:rPr>
          <m:t>3</m:t>
        </m:r>
      </m:oMath>
      <w:r>
        <w:rPr>
          <w:rFonts w:ascii="Times New Roman" w:hAnsi="Times New Roman" w:cs="Times New Roman"/>
          <w:sz w:val="28"/>
          <w:szCs w:val="28"/>
        </w:rPr>
        <w:t>- коэффициент,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Затраты на проведение периодических медицинских осмотров</w:t>
      </w:r>
      <w:r w:rsidR="00CE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определяются по формуле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МО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</w:rPr>
                    <m:t>doc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</w:rPr>
                    <m:t>lab</m:t>
                  </m:r>
                </m:sup>
              </m:sSubSup>
            </m:e>
          </m:nary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МО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проведение периодических медицинских осмотров работников;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ji</m:t>
            </m:r>
          </m:sub>
          <m:sup>
            <m:r>
              <w:rPr>
                <w:rFonts w:ascii="Cambria Math" w:hAnsi="Cambria Math"/>
              </w:rPr>
              <m:t>doc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прохождение j-того врача-специалиста в расчете на единицу объема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ji</m:t>
            </m:r>
          </m:sub>
          <m:sup>
            <m:r>
              <w:rPr>
                <w:rFonts w:ascii="Cambria Math" w:hAnsi="Cambria Math"/>
              </w:rPr>
              <m:t>lab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проведение j-того лабораторного и функционального исследования в расчете на единицу объема оказания i-той муниципальной услуги.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2.16. 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муниципальной услуги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 дополнительных общеразвивающих программ, определяются по формуле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УЛ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УЛ</m:t>
                  </m:r>
                </m:sup>
              </m:sSubSup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УЛ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УЛ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j-того вида приобретаемой продукции (объема услуг, работ), необходимой для оказания единицы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стоимость единицы j-того вида приобретаемой продукции (объема услуг, работ).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2.17. Состав и порядок расчета иных затрат, непосредственно связанных с оказанием муниципальной услуги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дополнительных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общеразвивающих программ, определяются органами местного самоуправления городского округа Фрязино Московской области.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2.18. Затраты на коммунальные услуги в части имущества, необходимого для общехозяйственных нужд, которые определяются по формуле:</w:t>
      </w:r>
      <w:r>
        <w:rPr>
          <w:rFonts w:ascii="Times New Roman" w:hAnsi="Times New Roman" w:cs="Times New Roman"/>
          <w:sz w:val="28"/>
          <w:szCs w:val="28"/>
        </w:rPr>
        <w:br/>
      </w: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КУ2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КУ2</m:t>
                  </m:r>
                </m:sup>
              </m:sSubSup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КУ2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в части имущества, необходимого для общехозяйственных нужд;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КУ2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объем потребления j-того вида коммунальных услуг в части имущества, необходимого для общехозяйственных нужд, в расчете на единицу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 тариф на оплату j-того вида коммунальных услуг.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Состав и порядок расчета затрат на содержание объектов недвижимого</w:t>
      </w:r>
      <w:r w:rsidR="00CE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имущества, необходимого для общехозяйственных нужд, определяются органами местного самоуправления городского округа Фрязино Московской области. Затраты на содержание объектов недвижимого имущества, необходимого для общехозяйственных нужд, определяются по формуле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СНИ2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СНИ2</m:t>
                  </m:r>
                </m:sup>
              </m:sSubSup>
            </m:e>
          </m:nary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СНИ2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необходимого для общехозяйственных нужд;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СНИ2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количество (объем) j-того товара (работы, услуги), зак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содержания объектов недвижимого имущества, необходимого для общехозяйственных нужд, в расчете на единицу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стоимость единицы j-того товара (работы, услуги), закупаемого в целях содержания объектов недвижимого иму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необходимого для общехозяйственных нужд.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2.20. Затраты на содержание особо ценного движимого имущества, необходимого для общехозяйственных нужд, определяются на основании типового перечня особо ценного движимого имущества на общехозяйственные нужды по формуле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СОЦДИ2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ОЦДИ2</m:t>
              </m:r>
            </m:sup>
          </m:sSubSup>
          <m:r>
            <w:rPr>
              <w:rFonts w:ascii="Cambria Math" w:hAnsi="Cambria Math"/>
            </w:rPr>
            <m:t>*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содержание2</m:t>
              </m:r>
            </m:sup>
          </m:sSubSup>
        </m:oMath>
      </m:oMathPara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СОЦДИ2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Затраты на содержание особо ценного движимого имущества, необходимого для общехозяйственных нужд;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ОЦДИ2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стоимость особо ценного движимого имущества, включенного в типовые перечни особо ценного движимого имущества, необходимого для общехозяйственных нужд, в расчете на единицу оказания i-той муниципальной услуги;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содержание2</m:t>
            </m:r>
          </m:sup>
        </m:sSubSup>
      </m:oMath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процент от стоимости особо ценного движимого имущества, необходимого для общехозяйственных нужд, который учитывается в целях обеспечения его содержания и определяется на основании усреднения фактических затрат муниципальных учреждений, направляемых ими на соответствующие цели.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2.21. Затраты на формирование резерва на полное восстановление состава объектов особо ценного движимого имущества, необходимого для общехозяйственных нужд, определяются как объем годовой расчетной суммы </w:t>
      </w:r>
      <w:r>
        <w:rPr>
          <w:rFonts w:ascii="Times New Roman" w:hAnsi="Times New Roman"/>
          <w:sz w:val="28"/>
          <w:szCs w:val="28"/>
        </w:rPr>
        <w:lastRenderedPageBreak/>
        <w:t>амортизации особо ценного движимого имущества, необходимого для общехозяйственных нужд по формуле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iбаз</m:t>
              </m:r>
            </m:sub>
            <m:sup>
              <m:r>
                <w:rPr>
                  <w:rFonts w:ascii="Cambria Math" w:hAnsi="Cambria Math"/>
                </w:rPr>
                <m:t>ФР2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к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ФР2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*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ФР2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к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ФР2</m:t>
                      </m:r>
                    </m:sup>
                  </m:sSubSup>
                </m:den>
              </m:f>
            </m:e>
          </m:nary>
        </m:oMath>
      </m:oMathPara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ФР2</m:t>
            </m:r>
          </m:sup>
        </m:sSubSup>
      </m:oMath>
      <w:r>
        <w:rPr>
          <w:sz w:val="28"/>
          <w:szCs w:val="28"/>
        </w:rPr>
        <w:t xml:space="preserve"> - Затраты на формирование резерва на полное восстановление состава объектов особо ценного движимого имущества необходимого для общехозяйственных нужд;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ik</m:t>
            </m:r>
          </m:sub>
          <m:sup>
            <m:r>
              <w:rPr>
                <w:rFonts w:ascii="Cambria Math" w:hAnsi="Cambria Math"/>
              </w:rPr>
              <m:t>ФР2</m:t>
            </m:r>
          </m:sup>
        </m:sSubSup>
      </m:oMath>
      <w:r>
        <w:rPr>
          <w:sz w:val="28"/>
          <w:szCs w:val="28"/>
        </w:rPr>
        <w:t>- количество k-ого объекта особо ценного движимого имущества, включенного в типовой перечень, в р</w:t>
      </w:r>
      <w:proofErr w:type="spellStart"/>
      <w:r>
        <w:rPr>
          <w:sz w:val="28"/>
          <w:szCs w:val="28"/>
        </w:rPr>
        <w:t>асчете</w:t>
      </w:r>
      <w:proofErr w:type="spellEnd"/>
      <w:r>
        <w:rPr>
          <w:sz w:val="28"/>
          <w:szCs w:val="28"/>
        </w:rPr>
        <w:t xml:space="preserve"> на единицу оказания i-той муниципальной услуги;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ФР2</m:t>
            </m:r>
          </m:sup>
        </m:sSubSup>
      </m:oMath>
      <w:r>
        <w:rPr>
          <w:sz w:val="28"/>
          <w:szCs w:val="28"/>
        </w:rPr>
        <w:t xml:space="preserve"> - стоимость единицы k-ого объекта особо ценного движимого имущества, необходимого для общехозяйственных нужд;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к</m:t>
            </m:r>
          </m:sub>
          <m:sup>
            <m:r>
              <w:rPr>
                <w:rFonts w:ascii="Cambria Math" w:hAnsi="Cambria Math"/>
              </w:rPr>
              <m:t>ФР2</m:t>
            </m:r>
          </m:sup>
        </m:sSubSup>
      </m:oMath>
      <w:r>
        <w:rPr>
          <w:sz w:val="28"/>
          <w:szCs w:val="28"/>
        </w:rPr>
        <w:t xml:space="preserve"> - срок полезного использования k-ого объекта особо ценного движимого имущества, необходимого для общехозяйственных нужд.</w:t>
      </w:r>
    </w:p>
    <w:p w:rsidR="004B7D7A" w:rsidRDefault="00C923A2">
      <w:pPr>
        <w:pStyle w:val="formattext"/>
        <w:shd w:val="clear" w:color="auto" w:fill="FFFFFF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</w:rPr>
        <w:t xml:space="preserve">2.22. Состав и порядок расчета затрат на приобретение услуг связи определяются органами местного самоуправления городского округа Фрязино Московской области.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услуг связи по решению органов местного самоуправления городского округа Фрязино Московской области могут включать в себя: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местную, междугороднюю и международную телефонную связь в расчете на единицу оказания муниципальной услуги;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интернет в расчете на единицу оказания муниципальной услуги;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услуги хостинга в расчете на единицу оказания муниципальной услуги;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затраты на иные услуги связи в расчете на единицу оказания муниципальной услуги по решению уполномоченного органа.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услуг связи определяются по формуле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УС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УС</m:t>
                  </m:r>
                </m:sup>
              </m:sSubSup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УС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УС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объем j-того вида услуг связи, приобретаемого для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стоимость единицы j-того вида услуг связи.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 xml:space="preserve">2.23. Состав и порядок расчета затрат на приобретение транспортных услуг определяются органами местного самоуправления городского округа Фрязино Московской области. </w:t>
      </w:r>
    </w:p>
    <w:p w:rsidR="004B7D7A" w:rsidRDefault="00C923A2">
      <w:pPr>
        <w:pStyle w:val="af4"/>
        <w:widowControl/>
        <w:shd w:val="clear" w:color="auto" w:fill="FFFFFF"/>
        <w:tabs>
          <w:tab w:val="left" w:pos="883"/>
        </w:tabs>
        <w:suppressAutoHyphens/>
        <w:ind w:left="0" w:firstLine="850"/>
      </w:pP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транспортных услуг по решению органов местного самоуправления городского округа Фрязино Московской области могут включать в себя: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проезд работников до места получения дополнительного профессионального образования и обратно в расчете на единицу муниципальной услуги;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проезд обучающихся до места прохождения практики и обратно в расчете на единицу муниципальной услуги;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иные затраты на транспортные услуги в расчете на единицу муниципальной услуги по решению уполномоченного органа.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 определяются по формуле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ТУ</m:t>
              </m:r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ТУ</m:t>
                  </m:r>
                </m:sup>
              </m:sSubSup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УТ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- Затраты на приобретение транспортных услуг;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ij</m:t>
            </m:r>
          </m:sub>
          <m:sup>
            <m:r>
              <w:rPr>
                <w:rFonts w:ascii="Cambria Math" w:hAnsi="Cambria Math"/>
              </w:rPr>
              <m:t>ТУ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объем j-того вида транспортных услуг, приобретаемого для оказания i-той муниципальной услуги;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стоимость единицы j-того вида транспортных услуг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2.24.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рассчитываются: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для базовых нормативов затрат на оказание муниципальных услуг муниципальными учреждениями - размер среднемесячной заработной платы в соответствующем муниципальном образовании;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 учетом ставки начислений на выплаты по оплате труда работников, непосредственно связанных с оказанием муниципальной услуги;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</w:rPr>
        <w:t>- с учетом доли фонда оплаты труда работников административно-управленческого и вспомогательного персонала в общем фонде оплаты труда работников или с учетом доли численности работников административно-управленческого и вспомогательного персонала в общей численности работников.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</w:rPr>
        <w:t xml:space="preserve">2.25. Корректирующие коэффициенты к базовым нормативам затрат, применяемые при расчете нормативных затрат на оказание муниципальных услуг, включают в себя территориальные корректирующие коэффициенты и отраслевые корректирующие коэффициенты. 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</w:pPr>
      <w:r>
        <w:rPr>
          <w:rFonts w:ascii="Times New Roman" w:hAnsi="Times New Roman" w:cs="Times New Roman"/>
          <w:sz w:val="28"/>
          <w:szCs w:val="28"/>
        </w:rPr>
        <w:t>По решению органов местного самоуправления городского округа Фрязино Московской области территориальные корректирующие коэффициенты могут применяться к затратам на оплату труда с начислениями на выплаты по оплате труда, к затратам на коммунальные услуги и (или) к затратам на содержание недвижимого имущества. Значения территориальных корректирующих коэффициентов устанавливает орган местного самоуправления, осуществляющий функции и полномочия учредителя муниципального учреждения.</w:t>
      </w:r>
    </w:p>
    <w:p w:rsidR="004B7D7A" w:rsidRDefault="00C923A2">
      <w:pPr>
        <w:widowControl/>
        <w:shd w:val="clear" w:color="auto" w:fill="FFFFFF"/>
        <w:tabs>
          <w:tab w:val="left" w:pos="883"/>
        </w:tabs>
        <w:suppressAutoHyphens/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2.26. 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специфики, в том числе: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особенности содержания образовательной программы;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особенности оказания муниципальной услуги в отношении отдельных категорий получателей муниципальной услуги, в том числе для лиц с ограниченными возможностями здоровья, для детей-инвалидов, для инвалидов, для лиц, нуждающихся в длительном лечении;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форма обучения;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формы реализации образовательных программ, используемые технологии обучения: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сетевая форма обучения,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дистанционные образовательные технологии,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электронное обучение;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специфика организации образовательного процесса в специализированных учреждениях, осуществляющих образовательную деятельность по адаптированным основным общеобразовательным программам, а также индивидуальным программам реабилитации инвалидов. </w:t>
      </w:r>
    </w:p>
    <w:p w:rsidR="004B7D7A" w:rsidRDefault="00C923A2">
      <w:pPr>
        <w:pStyle w:val="formattext"/>
        <w:suppressAutoHyphens/>
        <w:spacing w:beforeAutospacing="0" w:afterAutospacing="0"/>
        <w:ind w:firstLine="850"/>
        <w:jc w:val="both"/>
        <w:textAlignment w:val="baseline"/>
      </w:pPr>
      <w:r>
        <w:rPr>
          <w:sz w:val="28"/>
          <w:szCs w:val="28"/>
        </w:rPr>
        <w:t>Перечень, значения и порядок применения отраслевых корректирующих коэффициентов утверждаются органами местного самоуправления городского округа Фрязино Московской области.</w:t>
      </w:r>
    </w:p>
    <w:sectPr w:rsidR="004B7D7A" w:rsidSect="00C923A2">
      <w:pgSz w:w="11906" w:h="16800"/>
      <w:pgMar w:top="709" w:right="800" w:bottom="709" w:left="156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57A"/>
    <w:multiLevelType w:val="multilevel"/>
    <w:tmpl w:val="2FA67BC4"/>
    <w:lvl w:ilvl="0">
      <w:start w:val="1"/>
      <w:numFmt w:val="decimal"/>
      <w:lvlText w:val="%1."/>
      <w:lvlJc w:val="left"/>
      <w:pPr>
        <w:ind w:left="1917" w:hanging="924"/>
      </w:pPr>
      <w:rPr>
        <w:rFonts w:ascii="Times New Roman" w:hAnsi="Times New Roman" w:cs="Times New Roman"/>
        <w:b w:val="0"/>
        <w:strike w:val="0"/>
        <w:dstrike w:val="0"/>
        <w:color w:val="00000A"/>
        <w:sz w:val="28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5" w:hanging="88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1">
    <w:nsid w:val="249D451E"/>
    <w:multiLevelType w:val="multilevel"/>
    <w:tmpl w:val="AA96CE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F757DE"/>
    <w:multiLevelType w:val="multilevel"/>
    <w:tmpl w:val="70526EE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BCE2FB1"/>
    <w:multiLevelType w:val="multilevel"/>
    <w:tmpl w:val="CC6CD4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color w:val="00000A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F310ABE"/>
    <w:multiLevelType w:val="multilevel"/>
    <w:tmpl w:val="BA6680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7A"/>
    <w:rsid w:val="0002340C"/>
    <w:rsid w:val="004B7D7A"/>
    <w:rsid w:val="005C4BC4"/>
    <w:rsid w:val="00C923A2"/>
    <w:rsid w:val="00C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453A0-1B63-43DF-8BDB-4B6D158C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EB"/>
    <w:pPr>
      <w:widowControl w:val="0"/>
      <w:spacing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qFormat/>
    <w:rsid w:val="002D5A4A"/>
    <w:rPr>
      <w:b/>
      <w:color w:val="26282F"/>
    </w:rPr>
  </w:style>
  <w:style w:type="character" w:customStyle="1" w:styleId="a5">
    <w:name w:val="Гипертекстовая ссылка"/>
    <w:uiPriority w:val="99"/>
    <w:qFormat/>
    <w:rsid w:val="002D5A4A"/>
    <w:rPr>
      <w:rFonts w:cs="Times New Roman"/>
      <w:b w:val="0"/>
      <w:color w:val="106BBE"/>
    </w:rPr>
  </w:style>
  <w:style w:type="character" w:customStyle="1" w:styleId="a6">
    <w:name w:val="Текст абзаца Знак"/>
    <w:qFormat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1"/>
    <w:uiPriority w:val="99"/>
    <w:semiHidden/>
    <w:qFormat/>
    <w:rsid w:val="00B762ED"/>
    <w:rPr>
      <w:color w:val="808080"/>
    </w:rPr>
  </w:style>
  <w:style w:type="character" w:styleId="a9">
    <w:name w:val="annotation reference"/>
    <w:basedOn w:val="a1"/>
    <w:uiPriority w:val="99"/>
    <w:semiHidden/>
    <w:unhideWhenUsed/>
    <w:qFormat/>
    <w:rsid w:val="000A27CD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qFormat/>
    <w:rsid w:val="000A27C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Основной текст (2)"/>
    <w:basedOn w:val="a1"/>
    <w:qFormat/>
    <w:rsid w:val="001B6F3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1"/>
    <w:qFormat/>
    <w:rsid w:val="001B6F3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c">
    <w:name w:val="Абзац списка Знак"/>
    <w:qFormat/>
    <w:rsid w:val="005B566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-">
    <w:name w:val="Интернет-ссылка"/>
    <w:basedOn w:val="a1"/>
    <w:uiPriority w:val="99"/>
    <w:semiHidden/>
    <w:unhideWhenUsed/>
    <w:rsid w:val="00166A6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433F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strike w:val="0"/>
      <w:dstrike w:val="0"/>
      <w:color w:val="00000A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b/>
      <w:strike w:val="0"/>
      <w:dstrike w:val="0"/>
      <w:color w:val="00000A"/>
      <w:sz w:val="28"/>
    </w:rPr>
  </w:style>
  <w:style w:type="paragraph" w:customStyle="1" w:styleId="a0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af1">
    <w:name w:val="Нормальный (таблица)"/>
    <w:basedOn w:val="a"/>
    <w:uiPriority w:val="99"/>
    <w:qFormat/>
    <w:rsid w:val="002D5A4A"/>
    <w:pPr>
      <w:ind w:firstLine="0"/>
    </w:pPr>
  </w:style>
  <w:style w:type="paragraph" w:customStyle="1" w:styleId="af2">
    <w:name w:val="Прижатый влево"/>
    <w:basedOn w:val="a"/>
    <w:uiPriority w:val="99"/>
    <w:qFormat/>
    <w:rsid w:val="002D5A4A"/>
    <w:pPr>
      <w:ind w:firstLine="0"/>
      <w:jc w:val="left"/>
    </w:pPr>
  </w:style>
  <w:style w:type="paragraph" w:customStyle="1" w:styleId="af3">
    <w:name w:val="Текст абзаца"/>
    <w:basedOn w:val="a"/>
    <w:qFormat/>
    <w:rsid w:val="00AB3308"/>
    <w:pPr>
      <w:widowControl/>
      <w:ind w:firstLine="709"/>
    </w:pPr>
    <w:rPr>
      <w:rFonts w:ascii="Times New Roman" w:hAnsi="Times New Roman" w:cs="Times New Roman"/>
    </w:rPr>
  </w:style>
  <w:style w:type="paragraph" w:styleId="af4">
    <w:name w:val="List Paragraph"/>
    <w:basedOn w:val="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qFormat/>
    <w:rsid w:val="005248B8"/>
    <w:pPr>
      <w:widowControl w:val="0"/>
      <w:spacing w:line="240" w:lineRule="auto"/>
    </w:pPr>
    <w:rPr>
      <w:rFonts w:ascii="Arial" w:eastAsia="Times New Roman" w:hAnsi="Arial" w:cs="Arial"/>
      <w:b/>
      <w:bCs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5D57C2"/>
    <w:rPr>
      <w:rFonts w:ascii="Tahoma" w:hAnsi="Tahoma" w:cs="Tahoma"/>
      <w:sz w:val="16"/>
      <w:szCs w:val="16"/>
    </w:rPr>
  </w:style>
  <w:style w:type="paragraph" w:styleId="af6">
    <w:name w:val="Revision"/>
    <w:uiPriority w:val="99"/>
    <w:semiHidden/>
    <w:qFormat/>
    <w:rsid w:val="000A27CD"/>
    <w:pPr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annotation text"/>
    <w:basedOn w:val="a"/>
    <w:uiPriority w:val="99"/>
    <w:unhideWhenUsed/>
    <w:qFormat/>
    <w:rsid w:val="000A27CD"/>
    <w:rPr>
      <w:sz w:val="20"/>
      <w:szCs w:val="20"/>
    </w:rPr>
  </w:style>
  <w:style w:type="paragraph" w:styleId="af8">
    <w:name w:val="annotation subject"/>
    <w:basedOn w:val="af7"/>
    <w:uiPriority w:val="99"/>
    <w:semiHidden/>
    <w:unhideWhenUsed/>
    <w:qFormat/>
    <w:rsid w:val="000A27CD"/>
    <w:rPr>
      <w:b/>
      <w:bCs/>
    </w:rPr>
  </w:style>
  <w:style w:type="paragraph" w:customStyle="1" w:styleId="formattext">
    <w:name w:val="formattext"/>
    <w:basedOn w:val="a"/>
    <w:qFormat/>
    <w:rsid w:val="00A9702F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9">
    <w:name w:val="Блочная цитата"/>
    <w:basedOn w:val="a"/>
    <w:qFormat/>
  </w:style>
  <w:style w:type="paragraph" w:customStyle="1" w:styleId="afa">
    <w:name w:val="Заглавие"/>
    <w:basedOn w:val="a0"/>
  </w:style>
  <w:style w:type="paragraph" w:styleId="afb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Борисова</cp:lastModifiedBy>
  <cp:revision>13</cp:revision>
  <cp:lastPrinted>2023-12-28T12:49:00Z</cp:lastPrinted>
  <dcterms:created xsi:type="dcterms:W3CDTF">2023-12-06T18:24:00Z</dcterms:created>
  <dcterms:modified xsi:type="dcterms:W3CDTF">2023-12-28T15:02:00Z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