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83" w:rsidRDefault="006C1083" w:rsidP="006C108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Приложение 2</w:t>
      </w:r>
    </w:p>
    <w:p w:rsidR="006C1083" w:rsidRDefault="006C1083" w:rsidP="006C10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к постановлению Администрации </w:t>
      </w:r>
    </w:p>
    <w:p w:rsidR="006C1083" w:rsidRDefault="006C1083" w:rsidP="006C10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городского округа Фрязино</w:t>
      </w:r>
    </w:p>
    <w:p w:rsidR="006C1083" w:rsidRDefault="006C1083" w:rsidP="006C10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от 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C1083" w:rsidRDefault="006C1083" w:rsidP="006C1083">
      <w:pPr>
        <w:jc w:val="center"/>
        <w:rPr>
          <w:rStyle w:val="a5"/>
          <w:b w:val="0"/>
          <w:sz w:val="30"/>
          <w:szCs w:val="30"/>
        </w:rPr>
      </w:pPr>
    </w:p>
    <w:p w:rsidR="006C1083" w:rsidRPr="006C1083" w:rsidRDefault="006C1083" w:rsidP="006C1083">
      <w:pPr>
        <w:jc w:val="center"/>
        <w:rPr>
          <w:rStyle w:val="a5"/>
          <w:b w:val="0"/>
          <w:sz w:val="30"/>
          <w:szCs w:val="30"/>
        </w:rPr>
      </w:pPr>
    </w:p>
    <w:p w:rsidR="006C1083" w:rsidRPr="006C1083" w:rsidRDefault="006C1083" w:rsidP="006C1083">
      <w:pPr>
        <w:spacing w:line="192" w:lineRule="auto"/>
        <w:jc w:val="center"/>
        <w:rPr>
          <w:rStyle w:val="a5"/>
          <w:b w:val="0"/>
          <w:sz w:val="28"/>
          <w:szCs w:val="28"/>
        </w:rPr>
      </w:pPr>
      <w:r w:rsidRPr="006C1083">
        <w:rPr>
          <w:rStyle w:val="a5"/>
          <w:b w:val="0"/>
          <w:sz w:val="28"/>
          <w:szCs w:val="28"/>
        </w:rPr>
        <w:t>ПОРЯДОК</w:t>
      </w:r>
    </w:p>
    <w:p w:rsidR="006C1083" w:rsidRPr="006C1083" w:rsidRDefault="006C1083" w:rsidP="006C1083">
      <w:pPr>
        <w:spacing w:line="192" w:lineRule="auto"/>
        <w:jc w:val="center"/>
        <w:rPr>
          <w:rStyle w:val="a5"/>
          <w:b w:val="0"/>
          <w:sz w:val="16"/>
          <w:szCs w:val="16"/>
        </w:rPr>
      </w:pPr>
    </w:p>
    <w:p w:rsidR="006C1083" w:rsidRPr="006C1083" w:rsidRDefault="006C1083" w:rsidP="006C1083">
      <w:pPr>
        <w:spacing w:line="192" w:lineRule="auto"/>
        <w:jc w:val="center"/>
        <w:rPr>
          <w:rStyle w:val="a5"/>
          <w:b w:val="0"/>
          <w:sz w:val="28"/>
          <w:szCs w:val="28"/>
        </w:rPr>
      </w:pPr>
      <w:r w:rsidRPr="006C1083">
        <w:rPr>
          <w:rStyle w:val="a5"/>
          <w:b w:val="0"/>
          <w:sz w:val="28"/>
          <w:szCs w:val="28"/>
        </w:rPr>
        <w:t>расчета и внесения платы за публичный сервитут</w:t>
      </w:r>
    </w:p>
    <w:p w:rsidR="006C1083" w:rsidRPr="006C1083" w:rsidRDefault="006C1083" w:rsidP="006C1083">
      <w:pPr>
        <w:spacing w:line="192" w:lineRule="auto"/>
        <w:jc w:val="center"/>
        <w:rPr>
          <w:rStyle w:val="a5"/>
          <w:b w:val="0"/>
          <w:sz w:val="16"/>
          <w:szCs w:val="16"/>
        </w:rPr>
      </w:pPr>
    </w:p>
    <w:p w:rsidR="006C1083" w:rsidRPr="006C1083" w:rsidRDefault="006C1083" w:rsidP="006C1083">
      <w:pPr>
        <w:jc w:val="center"/>
        <w:rPr>
          <w:rStyle w:val="a5"/>
          <w:b w:val="0"/>
          <w:sz w:val="28"/>
          <w:szCs w:val="28"/>
        </w:rPr>
      </w:pPr>
      <w:r w:rsidRPr="006C1083">
        <w:rPr>
          <w:rStyle w:val="a5"/>
          <w:b w:val="0"/>
          <w:sz w:val="28"/>
          <w:szCs w:val="28"/>
        </w:rPr>
        <w:t>Расчет произведен в соответствии со статьей 39.46 Земельного Кодекса РФ.</w:t>
      </w:r>
    </w:p>
    <w:p w:rsidR="006C1083" w:rsidRPr="006C1083" w:rsidRDefault="006C1083" w:rsidP="006C1083">
      <w:pPr>
        <w:jc w:val="center"/>
        <w:rPr>
          <w:rStyle w:val="a5"/>
          <w:b w:val="0"/>
          <w:sz w:val="16"/>
          <w:szCs w:val="16"/>
        </w:rPr>
      </w:pP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w:r w:rsidRPr="006C1083">
        <w:rPr>
          <w:rStyle w:val="a5"/>
          <w:b w:val="0"/>
          <w:sz w:val="28"/>
          <w:szCs w:val="28"/>
        </w:rPr>
        <w:t>1. Расчет платы за публичный сервитут в отношении земель, государственная собственность на которые не разграничена, исчисляется</w:t>
      </w:r>
      <w:r w:rsidRPr="006C1083">
        <w:rPr>
          <w:rStyle w:val="a5"/>
          <w:b w:val="0"/>
          <w:szCs w:val="28"/>
        </w:rPr>
        <w:t xml:space="preserve"> </w:t>
      </w:r>
      <w:r w:rsidRPr="006C1083">
        <w:rPr>
          <w:rStyle w:val="a5"/>
          <w:b w:val="0"/>
          <w:sz w:val="28"/>
          <w:szCs w:val="28"/>
        </w:rPr>
        <w:t>по формуле:</w:t>
      </w:r>
    </w:p>
    <w:p w:rsidR="006C1083" w:rsidRDefault="006C1083" w:rsidP="006C1083">
      <w:pPr>
        <w:ind w:firstLine="709"/>
        <w:jc w:val="center"/>
        <w:rPr>
          <w:rStyle w:val="a5"/>
          <w:b w:val="0"/>
          <w:sz w:val="28"/>
          <w:szCs w:val="28"/>
        </w:rPr>
      </w:pPr>
      <w:proofErr w:type="spellStart"/>
      <w:r>
        <w:rPr>
          <w:rStyle w:val="a5"/>
          <w:sz w:val="28"/>
          <w:szCs w:val="28"/>
        </w:rPr>
        <w:t>Р</w:t>
      </w:r>
      <w:r>
        <w:rPr>
          <w:rStyle w:val="a5"/>
          <w:sz w:val="28"/>
          <w:szCs w:val="28"/>
          <w:vertAlign w:val="subscript"/>
        </w:rPr>
        <w:t>п</w:t>
      </w:r>
      <w:proofErr w:type="spellEnd"/>
      <w:r>
        <w:rPr>
          <w:rStyle w:val="a5"/>
          <w:sz w:val="28"/>
          <w:szCs w:val="28"/>
          <w:vertAlign w:val="subscript"/>
        </w:rPr>
        <w:t xml:space="preserve"> </w:t>
      </w:r>
      <w:r>
        <w:rPr>
          <w:rStyle w:val="a5"/>
          <w:sz w:val="28"/>
          <w:szCs w:val="28"/>
        </w:rPr>
        <w:t xml:space="preserve">= (УПКС </w:t>
      </w:r>
      <w:r>
        <w:rPr>
          <w:rStyle w:val="a5"/>
          <w:sz w:val="28"/>
          <w:szCs w:val="28"/>
          <w:lang w:val="en-US"/>
        </w:rPr>
        <w:t>x</w:t>
      </w:r>
      <w:r>
        <w:rPr>
          <w:rStyle w:val="a5"/>
          <w:sz w:val="28"/>
          <w:szCs w:val="28"/>
        </w:rPr>
        <w:t xml:space="preserve"> </w:t>
      </w:r>
      <w:proofErr w:type="spellStart"/>
      <w:r>
        <w:rPr>
          <w:rStyle w:val="a5"/>
          <w:sz w:val="28"/>
          <w:szCs w:val="28"/>
        </w:rPr>
        <w:t>ПЛ</w:t>
      </w:r>
      <w:r>
        <w:rPr>
          <w:rStyle w:val="a5"/>
          <w:sz w:val="28"/>
          <w:szCs w:val="28"/>
          <w:vertAlign w:val="subscript"/>
        </w:rPr>
        <w:t>серв</w:t>
      </w:r>
      <w:proofErr w:type="spellEnd"/>
      <w:r>
        <w:rPr>
          <w:rStyle w:val="a5"/>
          <w:sz w:val="28"/>
          <w:szCs w:val="28"/>
        </w:rPr>
        <w:t xml:space="preserve">) </w:t>
      </w:r>
      <w:r>
        <w:rPr>
          <w:rStyle w:val="a5"/>
          <w:sz w:val="28"/>
          <w:szCs w:val="28"/>
          <w:lang w:val="en-US"/>
        </w:rPr>
        <w:t>x</w:t>
      </w:r>
      <w:proofErr w:type="gramStart"/>
      <w:r>
        <w:rPr>
          <w:rStyle w:val="a5"/>
          <w:sz w:val="28"/>
          <w:szCs w:val="28"/>
        </w:rPr>
        <w:t xml:space="preserve"> К</w:t>
      </w:r>
      <w:proofErr w:type="gramEnd"/>
      <w:r>
        <w:rPr>
          <w:rStyle w:val="a5"/>
          <w:sz w:val="28"/>
          <w:szCs w:val="28"/>
        </w:rPr>
        <w:t>,</w:t>
      </w:r>
    </w:p>
    <w:p w:rsidR="006C1083" w:rsidRDefault="006C1083" w:rsidP="006C1083">
      <w:pPr>
        <w:ind w:firstLine="709"/>
        <w:jc w:val="both"/>
      </w:pPr>
      <w:r>
        <w:rPr>
          <w:bCs/>
          <w:sz w:val="28"/>
          <w:szCs w:val="28"/>
        </w:rPr>
        <w:t>где: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</w:rPr>
      </w:pPr>
      <w:proofErr w:type="spellStart"/>
      <w:r>
        <w:rPr>
          <w:rStyle w:val="a5"/>
          <w:sz w:val="28"/>
          <w:szCs w:val="28"/>
        </w:rPr>
        <w:t>Р</w:t>
      </w:r>
      <w:r>
        <w:rPr>
          <w:rStyle w:val="a5"/>
          <w:sz w:val="28"/>
          <w:szCs w:val="28"/>
          <w:vertAlign w:val="subscript"/>
        </w:rPr>
        <w:t>п</w:t>
      </w:r>
      <w:proofErr w:type="spellEnd"/>
      <w:r>
        <w:rPr>
          <w:rStyle w:val="a5"/>
          <w:sz w:val="28"/>
          <w:szCs w:val="28"/>
        </w:rPr>
        <w:t xml:space="preserve"> – </w:t>
      </w:r>
      <w:r w:rsidRPr="006C1083">
        <w:rPr>
          <w:rStyle w:val="a5"/>
          <w:b w:val="0"/>
          <w:sz w:val="28"/>
          <w:szCs w:val="28"/>
        </w:rPr>
        <w:t>размер платы за публичный сервитут, рублей в год;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 xml:space="preserve">УПКС – </w:t>
      </w:r>
      <w:r w:rsidRPr="006C1083">
        <w:rPr>
          <w:rStyle w:val="a5"/>
          <w:b w:val="0"/>
          <w:sz w:val="28"/>
          <w:szCs w:val="28"/>
        </w:rPr>
        <w:t>средний удельный показатель кадастровой стоимости земель по группам видов разрешенного использования, рублей;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w:proofErr w:type="gramStart"/>
      <w:r>
        <w:rPr>
          <w:rStyle w:val="a5"/>
          <w:sz w:val="28"/>
          <w:szCs w:val="28"/>
        </w:rPr>
        <w:t>К</w:t>
      </w:r>
      <w:proofErr w:type="gramEnd"/>
      <w:r>
        <w:rPr>
          <w:rStyle w:val="a5"/>
          <w:sz w:val="28"/>
          <w:szCs w:val="28"/>
        </w:rPr>
        <w:t xml:space="preserve"> – </w:t>
      </w:r>
      <w:r w:rsidRPr="006C1083">
        <w:rPr>
          <w:rStyle w:val="a5"/>
          <w:b w:val="0"/>
          <w:sz w:val="28"/>
          <w:szCs w:val="28"/>
        </w:rPr>
        <w:t xml:space="preserve">коэффициент платы за публичный сервитут. 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6"/>
          <w:szCs w:val="26"/>
        </w:rPr>
      </w:pPr>
      <w:r w:rsidRPr="006C1083">
        <w:rPr>
          <w:rStyle w:val="a5"/>
          <w:b w:val="0"/>
          <w:sz w:val="28"/>
          <w:szCs w:val="28"/>
        </w:rPr>
        <w:t>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:rsidR="006C1083" w:rsidRPr="006C1083" w:rsidRDefault="006C1083" w:rsidP="006C1083">
      <w:pPr>
        <w:ind w:firstLine="709"/>
        <w:jc w:val="both"/>
        <w:rPr>
          <w:b/>
        </w:rPr>
      </w:pPr>
      <w:r w:rsidRPr="006C1083">
        <w:rPr>
          <w:rStyle w:val="a5"/>
          <w:b w:val="0"/>
          <w:sz w:val="26"/>
          <w:szCs w:val="26"/>
        </w:rPr>
        <w:t xml:space="preserve">0,01% кадастровой стоимости земельного участка за каждый год его использования; </w:t>
      </w:r>
    </w:p>
    <w:p w:rsidR="006C1083" w:rsidRDefault="006C1083" w:rsidP="006C1083">
      <w:pPr>
        <w:ind w:firstLine="709"/>
        <w:jc w:val="both"/>
        <w:rPr>
          <w:rStyle w:val="a5"/>
          <w:b w:val="0"/>
          <w:bCs w:val="0"/>
        </w:rPr>
      </w:pPr>
      <w:r>
        <w:rPr>
          <w:sz w:val="26"/>
          <w:szCs w:val="26"/>
        </w:rPr>
        <w:t xml:space="preserve">0,1% кадастровой стоимости земельного </w:t>
      </w:r>
      <w:proofErr w:type="gramStart"/>
      <w:r>
        <w:rPr>
          <w:sz w:val="26"/>
          <w:szCs w:val="26"/>
        </w:rPr>
        <w:t>участка</w:t>
      </w:r>
      <w:proofErr w:type="gramEnd"/>
      <w:r>
        <w:rPr>
          <w:sz w:val="26"/>
          <w:szCs w:val="26"/>
        </w:rPr>
        <w:t xml:space="preserve"> в случае если публичный сервитут устанавливается на три года и более;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w:proofErr w:type="spellStart"/>
      <w:r>
        <w:rPr>
          <w:rStyle w:val="a5"/>
          <w:sz w:val="28"/>
          <w:szCs w:val="28"/>
        </w:rPr>
        <w:t>ПЛ</w:t>
      </w:r>
      <w:r>
        <w:rPr>
          <w:rStyle w:val="a5"/>
          <w:sz w:val="28"/>
          <w:szCs w:val="28"/>
          <w:vertAlign w:val="subscript"/>
        </w:rPr>
        <w:t>серв</w:t>
      </w:r>
      <w:proofErr w:type="spellEnd"/>
      <w:r>
        <w:rPr>
          <w:rStyle w:val="a5"/>
          <w:sz w:val="28"/>
          <w:szCs w:val="28"/>
        </w:rPr>
        <w:t xml:space="preserve"> – </w:t>
      </w:r>
      <w:r w:rsidRPr="006C1083">
        <w:rPr>
          <w:rStyle w:val="a5"/>
          <w:b w:val="0"/>
          <w:sz w:val="28"/>
          <w:szCs w:val="28"/>
        </w:rPr>
        <w:t>площадь части земельного участка (публичного сервитута), кв. м.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16"/>
          <w:szCs w:val="16"/>
        </w:rPr>
      </w:pPr>
    </w:p>
    <w:tbl>
      <w:tblPr>
        <w:tblW w:w="4850" w:type="pct"/>
        <w:tblInd w:w="206" w:type="dxa"/>
        <w:tblLayout w:type="fixed"/>
        <w:tblLook w:val="04A0" w:firstRow="1" w:lastRow="0" w:firstColumn="1" w:lastColumn="0" w:noHBand="0" w:noVBand="1"/>
      </w:tblPr>
      <w:tblGrid>
        <w:gridCol w:w="2249"/>
        <w:gridCol w:w="1963"/>
        <w:gridCol w:w="2106"/>
        <w:gridCol w:w="1539"/>
        <w:gridCol w:w="1427"/>
      </w:tblGrid>
      <w:tr w:rsidR="006C1083" w:rsidRPr="006C1083" w:rsidTr="006C1083">
        <w:trPr>
          <w:trHeight w:val="2134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P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 w:rsidRPr="006C1083">
              <w:rPr>
                <w:sz w:val="24"/>
                <w:szCs w:val="24"/>
              </w:rPr>
              <w:t>Номер кадастрового квартала земель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Pr="006C1083" w:rsidRDefault="006C1083">
            <w:pPr>
              <w:widowControl w:val="0"/>
              <w:spacing w:line="192" w:lineRule="auto"/>
              <w:jc w:val="center"/>
              <w:rPr>
                <w:rStyle w:val="a5"/>
                <w:b w:val="0"/>
                <w:sz w:val="24"/>
                <w:szCs w:val="24"/>
              </w:rPr>
            </w:pPr>
            <w:r w:rsidRPr="006C1083">
              <w:rPr>
                <w:rStyle w:val="a5"/>
                <w:b w:val="0"/>
                <w:sz w:val="24"/>
                <w:szCs w:val="24"/>
              </w:rPr>
              <w:t xml:space="preserve">Средний удельный показатель кадастровой стоимости земель по группам видов разрешенного использования, </w:t>
            </w:r>
          </w:p>
          <w:p w:rsidR="006C1083" w:rsidRPr="006C1083" w:rsidRDefault="006C1083">
            <w:pPr>
              <w:widowControl w:val="0"/>
              <w:spacing w:line="192" w:lineRule="auto"/>
              <w:jc w:val="center"/>
            </w:pPr>
            <w:r w:rsidRPr="006C1083">
              <w:rPr>
                <w:rStyle w:val="a5"/>
                <w:b w:val="0"/>
                <w:sz w:val="24"/>
                <w:szCs w:val="24"/>
              </w:rPr>
              <w:t>руб. (УПКС)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Pr="006C1083" w:rsidRDefault="006C1083">
            <w:pPr>
              <w:widowControl w:val="0"/>
              <w:spacing w:line="192" w:lineRule="auto"/>
              <w:jc w:val="center"/>
              <w:rPr>
                <w:rStyle w:val="a5"/>
                <w:b w:val="0"/>
                <w:sz w:val="24"/>
                <w:szCs w:val="24"/>
              </w:rPr>
            </w:pPr>
            <w:r w:rsidRPr="006C1083">
              <w:rPr>
                <w:rStyle w:val="a5"/>
                <w:b w:val="0"/>
                <w:sz w:val="24"/>
                <w:szCs w:val="24"/>
              </w:rPr>
              <w:t xml:space="preserve">Площадь земель, государственная собственность </w:t>
            </w:r>
          </w:p>
          <w:p w:rsidR="006C1083" w:rsidRPr="006C1083" w:rsidRDefault="006C1083">
            <w:pPr>
              <w:widowControl w:val="0"/>
              <w:spacing w:line="192" w:lineRule="auto"/>
              <w:jc w:val="center"/>
              <w:rPr>
                <w:rStyle w:val="a5"/>
                <w:b w:val="0"/>
                <w:sz w:val="24"/>
                <w:szCs w:val="24"/>
              </w:rPr>
            </w:pPr>
            <w:r w:rsidRPr="006C1083">
              <w:rPr>
                <w:rStyle w:val="a5"/>
                <w:b w:val="0"/>
                <w:sz w:val="24"/>
                <w:szCs w:val="24"/>
              </w:rPr>
              <w:t xml:space="preserve">на которые </w:t>
            </w:r>
          </w:p>
          <w:p w:rsidR="006C1083" w:rsidRPr="006C1083" w:rsidRDefault="006C1083">
            <w:pPr>
              <w:widowControl w:val="0"/>
              <w:spacing w:line="192" w:lineRule="auto"/>
              <w:jc w:val="center"/>
            </w:pPr>
            <w:r w:rsidRPr="006C1083">
              <w:rPr>
                <w:rStyle w:val="a5"/>
                <w:b w:val="0"/>
                <w:sz w:val="24"/>
                <w:szCs w:val="24"/>
              </w:rPr>
              <w:t>не разграничена, кв. м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C1083" w:rsidRP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 w:rsidRPr="006C1083">
              <w:rPr>
                <w:sz w:val="24"/>
                <w:szCs w:val="24"/>
              </w:rPr>
              <w:t>Коэффициент платы</w:t>
            </w:r>
          </w:p>
          <w:p w:rsidR="006C1083" w:rsidRP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 w:rsidRPr="006C1083">
              <w:rPr>
                <w:sz w:val="24"/>
                <w:szCs w:val="24"/>
              </w:rPr>
              <w:t>за публичный сервитут, % (К)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P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 w:rsidRPr="006C1083">
              <w:rPr>
                <w:sz w:val="24"/>
                <w:szCs w:val="24"/>
              </w:rPr>
              <w:t>Размер платы за публичный сервитут, руб. (Р</w:t>
            </w:r>
            <w:r w:rsidRPr="006C1083">
              <w:rPr>
                <w:sz w:val="24"/>
                <w:szCs w:val="24"/>
                <w:vertAlign w:val="subscript"/>
              </w:rPr>
              <w:t>П</w:t>
            </w:r>
            <w:r w:rsidRPr="006C1083">
              <w:rPr>
                <w:sz w:val="24"/>
                <w:szCs w:val="24"/>
              </w:rPr>
              <w:t>)</w:t>
            </w:r>
          </w:p>
        </w:tc>
      </w:tr>
      <w:tr w:rsidR="006C1083" w:rsidTr="006C1083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50:44:0010301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775,68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6C1083" w:rsidRDefault="006C108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50,42</w:t>
            </w:r>
          </w:p>
        </w:tc>
      </w:tr>
    </w:tbl>
    <w:p w:rsidR="006C1083" w:rsidRDefault="006C1083" w:rsidP="006C1083">
      <w:pPr>
        <w:ind w:firstLine="709"/>
        <w:rPr>
          <w:sz w:val="16"/>
          <w:szCs w:val="16"/>
        </w:rPr>
      </w:pPr>
    </w:p>
    <w:p w:rsidR="006C1083" w:rsidRDefault="006C1083" w:rsidP="006C10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Плата за публичный сервитут за 10 лет составляет:</w:t>
      </w:r>
    </w:p>
    <w:p w:rsidR="006C1083" w:rsidRDefault="006C1083" w:rsidP="006C1083">
      <w:pPr>
        <w:ind w:firstLine="709"/>
        <w:rPr>
          <w:sz w:val="16"/>
          <w:szCs w:val="16"/>
        </w:rPr>
      </w:pPr>
    </w:p>
    <w:p w:rsidR="006C1083" w:rsidRDefault="006C1083" w:rsidP="006C1083">
      <w:pPr>
        <w:spacing w:line="228" w:lineRule="auto"/>
        <w:ind w:left="2340" w:firstLine="709"/>
        <w:rPr>
          <w:sz w:val="28"/>
          <w:szCs w:val="28"/>
        </w:rPr>
      </w:pPr>
      <w:r>
        <w:rPr>
          <w:sz w:val="28"/>
          <w:szCs w:val="28"/>
        </w:rPr>
        <w:t xml:space="preserve">50,42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10 = 504,2 руб.</w:t>
      </w:r>
    </w:p>
    <w:p w:rsidR="006C1083" w:rsidRDefault="006C1083" w:rsidP="006C1083">
      <w:pPr>
        <w:widowControl w:val="0"/>
        <w:ind w:firstLine="709"/>
        <w:jc w:val="both"/>
        <w:rPr>
          <w:rStyle w:val="a5"/>
          <w:sz w:val="16"/>
          <w:szCs w:val="16"/>
        </w:rPr>
      </w:pPr>
    </w:p>
    <w:p w:rsidR="006C1083" w:rsidRPr="006C1083" w:rsidRDefault="006C1083" w:rsidP="006C1083">
      <w:pPr>
        <w:widowControl w:val="0"/>
        <w:ind w:firstLine="709"/>
        <w:jc w:val="both"/>
        <w:rPr>
          <w:rStyle w:val="a5"/>
          <w:b w:val="0"/>
          <w:sz w:val="28"/>
          <w:szCs w:val="28"/>
        </w:rPr>
      </w:pPr>
      <w:r w:rsidRPr="006C1083">
        <w:rPr>
          <w:rStyle w:val="a5"/>
          <w:b w:val="0"/>
          <w:sz w:val="28"/>
          <w:szCs w:val="28"/>
        </w:rPr>
        <w:t xml:space="preserve">2. Расчет платы за публичный сервитут в отношении земельного участка, </w:t>
      </w:r>
      <w:r w:rsidRPr="006C1083">
        <w:rPr>
          <w:sz w:val="28"/>
          <w:szCs w:val="28"/>
        </w:rPr>
        <w:t>находящего в муниципальной собственности</w:t>
      </w:r>
      <w:r w:rsidRPr="006C1083">
        <w:rPr>
          <w:rStyle w:val="a5"/>
          <w:sz w:val="28"/>
          <w:szCs w:val="28"/>
        </w:rPr>
        <w:t>,</w:t>
      </w:r>
      <w:r w:rsidRPr="006C1083">
        <w:rPr>
          <w:rStyle w:val="a5"/>
          <w:b w:val="0"/>
          <w:sz w:val="28"/>
          <w:szCs w:val="28"/>
        </w:rPr>
        <w:t xml:space="preserve"> исчисляется                по формуле:</w:t>
      </w:r>
    </w:p>
    <w:p w:rsidR="006C1083" w:rsidRDefault="006C1083" w:rsidP="006C1083">
      <w:pPr>
        <w:widowControl w:val="0"/>
        <w:ind w:firstLine="709"/>
        <w:jc w:val="both"/>
        <w:rPr>
          <w:rStyle w:val="a5"/>
          <w:b w:val="0"/>
          <w:sz w:val="16"/>
          <w:szCs w:val="16"/>
        </w:rPr>
      </w:pPr>
    </w:p>
    <w:p w:rsidR="006C1083" w:rsidRPr="006C1083" w:rsidRDefault="006C1083" w:rsidP="006C1083">
      <w:pPr>
        <w:spacing w:line="228" w:lineRule="auto"/>
        <w:ind w:firstLine="709"/>
        <w:jc w:val="center"/>
        <w:rPr>
          <w:rStyle w:val="a5"/>
          <w:bCs w:val="0"/>
          <w:sz w:val="30"/>
          <w:szCs w:val="30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КСТ × К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ПЛ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з.у.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×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ПЛ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серв</m:t>
            </m:r>
          </m:sub>
        </m:sSub>
      </m:oMath>
      <w:r w:rsidRPr="006C1083">
        <w:fldChar w:fldCharType="begin"/>
      </w:r>
      <w:r w:rsidRPr="006C1083">
        <w:instrText>QUOTE</w:instrTex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КСТ×К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ПЛ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з.у.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ПЛ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серв</m:t>
            </m:r>
          </m:sub>
        </m:sSub>
      </m:oMath>
      <w:r w:rsidRPr="006C1083">
        <w:rPr>
          <w:sz w:val="30"/>
          <w:szCs w:val="30"/>
        </w:rPr>
        <w:fldChar w:fldCharType="end"/>
      </w:r>
      <w:r w:rsidRPr="006C1083">
        <w:rPr>
          <w:rStyle w:val="a5"/>
          <w:sz w:val="30"/>
          <w:szCs w:val="30"/>
        </w:rPr>
        <w:t>,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w:r w:rsidRPr="006C1083">
        <w:rPr>
          <w:rStyle w:val="a5"/>
          <w:b w:val="0"/>
          <w:sz w:val="28"/>
          <w:szCs w:val="28"/>
        </w:rPr>
        <w:lastRenderedPageBreak/>
        <w:t>где:</w:t>
      </w:r>
    </w:p>
    <w:bookmarkStart w:id="0" w:name="_GoBack"/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</m:oMath>
      <w:r>
        <w:rPr>
          <w:rStyle w:val="a5"/>
          <w:sz w:val="28"/>
          <w:szCs w:val="28"/>
        </w:rPr>
        <w:t xml:space="preserve"> – </w:t>
      </w:r>
      <w:r w:rsidRPr="006C1083">
        <w:rPr>
          <w:rStyle w:val="a5"/>
          <w:b w:val="0"/>
          <w:sz w:val="28"/>
          <w:szCs w:val="28"/>
        </w:rPr>
        <w:t>размер платы за публичный сервитут, рублей в год;</w:t>
      </w:r>
    </w:p>
    <w:bookmarkEnd w:id="0"/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m:oMath>
        <m:r>
          <m:rPr>
            <m:sty m:val="b"/>
          </m:rPr>
          <w:rPr>
            <w:rFonts w:ascii="Cambria Math" w:hAnsi="Cambria Math"/>
          </w:rPr>
          <m:t>КСТ</m:t>
        </m:r>
      </m:oMath>
      <w:r w:rsidRPr="006C1083">
        <w:rPr>
          <w:rStyle w:val="a5"/>
          <w:b w:val="0"/>
          <w:sz w:val="28"/>
          <w:szCs w:val="28"/>
        </w:rPr>
        <w:t xml:space="preserve"> – кадастровая стоимость земельного участка согласно выписке из Единого государственного реестра недвижимости, рублей;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</w:rPr>
          <m:t>К</m:t>
        </m:r>
      </m:oMath>
      <w:r w:rsidRPr="006C1083">
        <w:rPr>
          <w:rStyle w:val="a5"/>
          <w:b w:val="0"/>
          <w:sz w:val="28"/>
          <w:szCs w:val="28"/>
        </w:rPr>
        <w:t xml:space="preserve">  – коэффициент платы за публичный сервитут. 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w:r w:rsidRPr="006C1083">
        <w:rPr>
          <w:rStyle w:val="a5"/>
          <w:b w:val="0"/>
          <w:sz w:val="28"/>
          <w:szCs w:val="28"/>
        </w:rPr>
        <w:t>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:rsidR="006C1083" w:rsidRPr="006C1083" w:rsidRDefault="006C1083" w:rsidP="006C1083">
      <w:pPr>
        <w:ind w:firstLine="709"/>
        <w:jc w:val="both"/>
        <w:rPr>
          <w:sz w:val="26"/>
          <w:szCs w:val="26"/>
        </w:rPr>
      </w:pPr>
      <w:r w:rsidRPr="006C1083">
        <w:rPr>
          <w:rStyle w:val="a5"/>
          <w:b w:val="0"/>
          <w:sz w:val="26"/>
          <w:szCs w:val="26"/>
        </w:rPr>
        <w:t xml:space="preserve">0,01% кадастровой стоимости земельного участка за каждый год его использования; </w:t>
      </w:r>
    </w:p>
    <w:p w:rsidR="006C1083" w:rsidRDefault="006C1083" w:rsidP="006C1083">
      <w:pPr>
        <w:ind w:firstLine="709"/>
        <w:jc w:val="both"/>
        <w:rPr>
          <w:rStyle w:val="a5"/>
          <w:b w:val="0"/>
          <w:bCs w:val="0"/>
        </w:rPr>
      </w:pPr>
      <w:r>
        <w:rPr>
          <w:sz w:val="26"/>
          <w:szCs w:val="26"/>
        </w:rPr>
        <w:t xml:space="preserve">0,1% кадастровой стоимости земельного </w:t>
      </w:r>
      <w:proofErr w:type="gramStart"/>
      <w:r>
        <w:rPr>
          <w:sz w:val="26"/>
          <w:szCs w:val="26"/>
        </w:rPr>
        <w:t>участка</w:t>
      </w:r>
      <w:proofErr w:type="gramEnd"/>
      <w:r>
        <w:rPr>
          <w:sz w:val="26"/>
          <w:szCs w:val="26"/>
        </w:rPr>
        <w:t xml:space="preserve"> в случае если публичный сервитут устанавливается на три года и более;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ПЛ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з.у.</m:t>
            </m:r>
          </m:sub>
        </m:sSub>
      </m:oMath>
      <w:r>
        <w:rPr>
          <w:rStyle w:val="a5"/>
          <w:sz w:val="28"/>
          <w:szCs w:val="28"/>
        </w:rPr>
        <w:t xml:space="preserve">– </w:t>
      </w:r>
      <w:r w:rsidRPr="006C1083">
        <w:rPr>
          <w:rStyle w:val="a5"/>
          <w:b w:val="0"/>
          <w:sz w:val="28"/>
          <w:szCs w:val="28"/>
        </w:rPr>
        <w:t>площадь земельного участка согласно выписке из Единого государственного реестра недвижимости, кв. м;</w:t>
      </w:r>
    </w:p>
    <w:p w:rsidR="006C1083" w:rsidRPr="006C1083" w:rsidRDefault="006C1083" w:rsidP="006C1083">
      <w:pPr>
        <w:ind w:firstLine="709"/>
        <w:jc w:val="both"/>
        <w:rPr>
          <w:rStyle w:val="a5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ПЛ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серв</m:t>
            </m:r>
          </m:sub>
        </m:sSub>
      </m:oMath>
      <w:r w:rsidRPr="006C1083">
        <w:rPr>
          <w:rStyle w:val="a5"/>
          <w:b w:val="0"/>
          <w:sz w:val="28"/>
          <w:szCs w:val="28"/>
        </w:rPr>
        <w:t xml:space="preserve"> – площадь части земельного участка (публичного сервитута), кв. м.</w:t>
      </w:r>
    </w:p>
    <w:p w:rsidR="006C1083" w:rsidRPr="006C1083" w:rsidRDefault="006C1083" w:rsidP="006C1083">
      <w:pPr>
        <w:ind w:firstLine="709"/>
        <w:jc w:val="both"/>
        <w:rPr>
          <w:sz w:val="16"/>
          <w:szCs w:val="16"/>
        </w:rPr>
      </w:pPr>
    </w:p>
    <w:tbl>
      <w:tblPr>
        <w:tblW w:w="9495" w:type="dxa"/>
        <w:tblInd w:w="206" w:type="dxa"/>
        <w:tblLayout w:type="fixed"/>
        <w:tblLook w:val="04A0" w:firstRow="1" w:lastRow="0" w:firstColumn="1" w:lastColumn="0" w:noHBand="0" w:noVBand="1"/>
      </w:tblPr>
      <w:tblGrid>
        <w:gridCol w:w="2550"/>
        <w:gridCol w:w="1985"/>
        <w:gridCol w:w="1276"/>
        <w:gridCol w:w="1462"/>
        <w:gridCol w:w="1089"/>
        <w:gridCol w:w="1133"/>
      </w:tblGrid>
      <w:tr w:rsidR="006C1083" w:rsidTr="006C1083">
        <w:trPr>
          <w:trHeight w:val="1832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Кадастровая стоимость </w:t>
            </w:r>
          </w:p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участка,</w:t>
            </w:r>
          </w:p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(КСТ)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  <w:proofErr w:type="gramStart"/>
            <w:r>
              <w:rPr>
                <w:sz w:val="24"/>
                <w:szCs w:val="24"/>
              </w:rPr>
              <w:t>земель-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участка, </w:t>
            </w:r>
          </w:p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ПЛ</m:t>
                  </m:r>
                  <w:proofErr w:type="gramEnd"/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з.у.</m:t>
                  </m:r>
                </m:sub>
              </m:sSub>
            </m:oMath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публичного сервитута, кв. м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ПЛ</m:t>
                  </m:r>
                  <w:proofErr w:type="gramEnd"/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серв</m:t>
                  </m:r>
                </m:sub>
              </m:sSub>
            </m:oMath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платы </w:t>
            </w:r>
          </w:p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публичный сервитут, % (К)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платы </w:t>
            </w:r>
          </w:p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публичный сервитут,</w:t>
            </w:r>
          </w:p>
          <w:p w:rsidR="006C1083" w:rsidRDefault="006C1083">
            <w:pPr>
              <w:widowControl w:val="0"/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(Р</w:t>
            </w:r>
            <w:r>
              <w:rPr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>)</w:t>
            </w:r>
          </w:p>
        </w:tc>
      </w:tr>
      <w:tr w:rsidR="006C1083" w:rsidTr="006C1083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50:44:0000000:6754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9 239 705,66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11 629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6C1083" w:rsidRDefault="006C108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083" w:rsidRDefault="006C1083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61,18</w:t>
            </w:r>
          </w:p>
        </w:tc>
      </w:tr>
    </w:tbl>
    <w:p w:rsidR="006C1083" w:rsidRDefault="006C1083" w:rsidP="006C1083">
      <w:pPr>
        <w:ind w:firstLine="709"/>
        <w:rPr>
          <w:sz w:val="16"/>
          <w:szCs w:val="16"/>
        </w:rPr>
      </w:pPr>
    </w:p>
    <w:p w:rsidR="006C1083" w:rsidRDefault="006C1083" w:rsidP="006C10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Плата за публичный сервитут за 10 лет составляет:</w:t>
      </w:r>
    </w:p>
    <w:p w:rsidR="006C1083" w:rsidRDefault="006C1083" w:rsidP="006C1083">
      <w:pPr>
        <w:ind w:firstLine="709"/>
        <w:rPr>
          <w:sz w:val="16"/>
          <w:szCs w:val="16"/>
        </w:rPr>
      </w:pPr>
    </w:p>
    <w:p w:rsidR="006C1083" w:rsidRDefault="006C1083" w:rsidP="006C1083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61,18 </w:t>
      </w:r>
      <w:r>
        <w:rPr>
          <w:sz w:val="30"/>
          <w:szCs w:val="30"/>
          <w:lang w:val="en-US"/>
        </w:rPr>
        <w:t>x</w:t>
      </w:r>
      <w:r>
        <w:rPr>
          <w:sz w:val="30"/>
          <w:szCs w:val="30"/>
        </w:rPr>
        <w:t xml:space="preserve"> 10 = 611,8 руб.</w:t>
      </w:r>
    </w:p>
    <w:p w:rsidR="006C1083" w:rsidRDefault="006C1083" w:rsidP="006C1083">
      <w:pPr>
        <w:ind w:firstLine="709"/>
        <w:jc w:val="both"/>
        <w:rPr>
          <w:sz w:val="16"/>
          <w:szCs w:val="16"/>
        </w:rPr>
      </w:pPr>
    </w:p>
    <w:p w:rsidR="006C1083" w:rsidRDefault="006C1083" w:rsidP="006C108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Общий размер платы </w:t>
      </w:r>
      <w:r>
        <w:rPr>
          <w:bCs/>
          <w:sz w:val="28"/>
          <w:szCs w:val="28"/>
        </w:rPr>
        <w:t>за публичный сервитут за 10 лет составляет:</w:t>
      </w:r>
    </w:p>
    <w:p w:rsidR="006C1083" w:rsidRDefault="006C1083" w:rsidP="006C1083">
      <w:pPr>
        <w:ind w:firstLine="709"/>
        <w:jc w:val="both"/>
        <w:rPr>
          <w:bCs/>
          <w:sz w:val="16"/>
          <w:szCs w:val="16"/>
        </w:rPr>
      </w:pPr>
    </w:p>
    <w:p w:rsidR="006C1083" w:rsidRDefault="006C1083" w:rsidP="006C108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504,2 +  611,8 = 1116 руб.</w:t>
      </w:r>
    </w:p>
    <w:p w:rsidR="006C1083" w:rsidRDefault="006C1083" w:rsidP="006C1083">
      <w:pPr>
        <w:ind w:firstLine="709"/>
        <w:jc w:val="both"/>
        <w:rPr>
          <w:sz w:val="16"/>
          <w:szCs w:val="16"/>
        </w:rPr>
      </w:pPr>
    </w:p>
    <w:p w:rsidR="006C1083" w:rsidRDefault="006C1083" w:rsidP="006C10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Порядок внесения платы: плата за публичный сервитут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6C1083" w:rsidRDefault="006C1083" w:rsidP="006C1083">
      <w:pPr>
        <w:pStyle w:val="a3"/>
        <w:tabs>
          <w:tab w:val="clear" w:pos="4820"/>
          <w:tab w:val="left" w:pos="4395"/>
          <w:tab w:val="left" w:pos="4536"/>
        </w:tabs>
        <w:ind w:right="0" w:firstLine="709"/>
        <w:rPr>
          <w:sz w:val="16"/>
          <w:szCs w:val="16"/>
        </w:rPr>
      </w:pPr>
    </w:p>
    <w:p w:rsidR="006C1083" w:rsidRDefault="006C1083" w:rsidP="006C10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Реквизиты, на которые должна перечисляться плата </w:t>
      </w:r>
      <w:r>
        <w:rPr>
          <w:bCs/>
          <w:sz w:val="28"/>
          <w:szCs w:val="28"/>
        </w:rPr>
        <w:t>за публичный сервитут</w:t>
      </w:r>
      <w:r>
        <w:rPr>
          <w:sz w:val="28"/>
          <w:szCs w:val="28"/>
        </w:rPr>
        <w:t>:</w:t>
      </w:r>
    </w:p>
    <w:p w:rsidR="006C1083" w:rsidRDefault="006C1083" w:rsidP="006C10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Получатель: ИНН 5052002128, КПП 505001001, ОКТМО 46780000 Получатель: УФК по </w:t>
      </w:r>
      <w:proofErr w:type="gramStart"/>
      <w:r>
        <w:rPr>
          <w:sz w:val="28"/>
          <w:szCs w:val="28"/>
        </w:rPr>
        <w:t>Московской</w:t>
      </w:r>
      <w:proofErr w:type="gramEnd"/>
      <w:r>
        <w:rPr>
          <w:sz w:val="28"/>
          <w:szCs w:val="28"/>
        </w:rPr>
        <w:t xml:space="preserve"> обл. (Администрация городского округа Фрязино л/с 04483002970), банк получателя: ГУ БАНКА РОССИИ ПО ЦФО//УФК по Московской области, г. Москва, БИК 004525987, единый счет 40102810845370000004, казначейский счет получателя 03100643000000014800, КБК 11111105324040000120.</w:t>
      </w:r>
    </w:p>
    <w:p w:rsidR="006C1083" w:rsidRDefault="006C1083" w:rsidP="006C1083">
      <w:pPr>
        <w:pStyle w:val="a3"/>
        <w:tabs>
          <w:tab w:val="clear" w:pos="4820"/>
          <w:tab w:val="left" w:pos="4395"/>
          <w:tab w:val="left" w:pos="4536"/>
        </w:tabs>
        <w:ind w:right="0" w:firstLine="709"/>
        <w:rPr>
          <w:szCs w:val="28"/>
        </w:rPr>
      </w:pPr>
    </w:p>
    <w:p w:rsidR="005715C9" w:rsidRDefault="005715C9"/>
    <w:sectPr w:rsidR="00571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83"/>
    <w:rsid w:val="005715C9"/>
    <w:rsid w:val="006C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1083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C108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5">
    <w:name w:val="Strong"/>
    <w:basedOn w:val="a0"/>
    <w:qFormat/>
    <w:rsid w:val="006C108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10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08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1083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C108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5">
    <w:name w:val="Strong"/>
    <w:basedOn w:val="a0"/>
    <w:qFormat/>
    <w:rsid w:val="006C108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C10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108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Борисова</cp:lastModifiedBy>
  <cp:revision>2</cp:revision>
  <dcterms:created xsi:type="dcterms:W3CDTF">2023-12-18T07:46:00Z</dcterms:created>
  <dcterms:modified xsi:type="dcterms:W3CDTF">2023-12-18T07:52:00Z</dcterms:modified>
</cp:coreProperties>
</file>