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6CD" w:rsidRDefault="00F93F75">
      <w:pPr>
        <w:pStyle w:val="ac"/>
        <w:spacing w:after="0" w:line="240" w:lineRule="auto"/>
        <w:jc w:val="center"/>
      </w:pPr>
      <w:r>
        <w:rPr>
          <w:b/>
          <w:sz w:val="28"/>
          <w:szCs w:val="28"/>
        </w:rPr>
        <w:t xml:space="preserve">                                                                       </w:t>
      </w:r>
      <w:r>
        <w:rPr>
          <w:rFonts w:ascii="Times New Roman;serif" w:hAnsi="Times New Roman;serif"/>
          <w:sz w:val="28"/>
          <w:szCs w:val="28"/>
        </w:rPr>
        <w:t>УТВЕРЖДЕНЫ</w:t>
      </w:r>
    </w:p>
    <w:p w:rsidR="00DD76CD" w:rsidRDefault="00F93F75">
      <w:pPr>
        <w:pStyle w:val="ac"/>
        <w:spacing w:after="0" w:line="240" w:lineRule="auto"/>
        <w:jc w:val="center"/>
      </w:pPr>
      <w:r>
        <w:rPr>
          <w:rFonts w:ascii="Times New Roman;serif" w:hAnsi="Times New Roman;serif"/>
          <w:sz w:val="28"/>
        </w:rPr>
        <w:t xml:space="preserve">                                                                              распоряжением председателя</w:t>
      </w:r>
    </w:p>
    <w:p w:rsidR="00DD76CD" w:rsidRDefault="00F93F75">
      <w:pPr>
        <w:pStyle w:val="ac"/>
        <w:spacing w:after="0" w:line="240" w:lineRule="auto"/>
        <w:jc w:val="center"/>
      </w:pPr>
      <w:r>
        <w:rPr>
          <w:rFonts w:ascii="Times New Roman;serif" w:hAnsi="Times New Roman;serif"/>
          <w:sz w:val="28"/>
        </w:rPr>
        <w:t xml:space="preserve">                                                                             Контрольно-счетной палаты </w:t>
      </w:r>
    </w:p>
    <w:p w:rsidR="00DD76CD" w:rsidRDefault="00F93F75">
      <w:pPr>
        <w:pStyle w:val="ac"/>
        <w:spacing w:after="0" w:line="240" w:lineRule="auto"/>
        <w:jc w:val="both"/>
      </w:pPr>
      <w:r>
        <w:t xml:space="preserve">                                                                                              </w:t>
      </w:r>
      <w:r>
        <w:rPr>
          <w:rFonts w:ascii="Times New Roman;serif" w:hAnsi="Times New Roman;serif"/>
          <w:sz w:val="28"/>
        </w:rPr>
        <w:t>г. Фрязино от 28.04.2016 № 35</w:t>
      </w: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F93F75">
      <w:pPr>
        <w:jc w:val="center"/>
      </w:pPr>
      <w:r>
        <w:rPr>
          <w:b/>
          <w:sz w:val="28"/>
          <w:szCs w:val="28"/>
        </w:rPr>
        <w:t>МЕТОДИЧЕСКИЕ РЕКОМЕНДАЦИИ</w:t>
      </w:r>
    </w:p>
    <w:p w:rsidR="00DD76CD" w:rsidRDefault="00F93F75">
      <w:pPr>
        <w:jc w:val="center"/>
      </w:pPr>
      <w:r>
        <w:rPr>
          <w:b/>
          <w:sz w:val="28"/>
          <w:szCs w:val="28"/>
        </w:rPr>
        <w:t>по участию Контрольно-счетной палаты города Фрязино</w:t>
      </w:r>
    </w:p>
    <w:p w:rsidR="00DD76CD" w:rsidRDefault="00F93F75">
      <w:pPr>
        <w:jc w:val="center"/>
      </w:pPr>
      <w:r>
        <w:rPr>
          <w:b/>
          <w:sz w:val="28"/>
          <w:szCs w:val="28"/>
        </w:rPr>
        <w:t xml:space="preserve">в мероприятиях, направленных на противодействие коррупции  </w:t>
      </w: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F93F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Фрязино</w:t>
      </w:r>
    </w:p>
    <w:p w:rsidR="00DD76CD" w:rsidRDefault="00DD76CD">
      <w:pPr>
        <w:jc w:val="center"/>
        <w:rPr>
          <w:b/>
          <w:sz w:val="28"/>
          <w:szCs w:val="28"/>
        </w:rPr>
      </w:pPr>
    </w:p>
    <w:p w:rsidR="00DD76CD" w:rsidRDefault="00F93F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2016 год</w:t>
      </w:r>
    </w:p>
    <w:p w:rsidR="00DD76CD" w:rsidRDefault="00F93F75">
      <w:pPr>
        <w:spacing w:line="360" w:lineRule="auto"/>
        <w:jc w:val="both"/>
      </w:pPr>
      <w:r>
        <w:rPr>
          <w:sz w:val="28"/>
          <w:szCs w:val="28"/>
        </w:rPr>
        <w:lastRenderedPageBreak/>
        <w:tab/>
      </w:r>
      <w:r>
        <w:rPr>
          <w:b/>
          <w:sz w:val="28"/>
          <w:szCs w:val="28"/>
        </w:rPr>
        <w:t>Цель методических рекомендаций</w:t>
      </w:r>
      <w:r>
        <w:rPr>
          <w:sz w:val="28"/>
          <w:szCs w:val="28"/>
        </w:rPr>
        <w:t xml:space="preserve"> – обеспечение единого подхода к организации работы Контрольно-счетной палаты города Фрязино  (далее — КСП г. Фрязино) по следующим направлениям:</w:t>
      </w:r>
    </w:p>
    <w:p w:rsidR="00DD76CD" w:rsidRDefault="00F93F75">
      <w:pPr>
        <w:spacing w:line="360" w:lineRule="auto"/>
        <w:jc w:val="both"/>
      </w:pPr>
      <w:r>
        <w:rPr>
          <w:sz w:val="28"/>
          <w:szCs w:val="28"/>
        </w:rPr>
        <w:t xml:space="preserve">- проведение антикоррупционной экспертизы </w:t>
      </w:r>
      <w:bookmarkStart w:id="0" w:name="__DdeLink__766_564731730"/>
      <w:r>
        <w:rPr>
          <w:sz w:val="28"/>
          <w:szCs w:val="28"/>
        </w:rPr>
        <w:t>нормативных правовых актов и проектов нормативных правовых актов</w:t>
      </w:r>
      <w:bookmarkEnd w:id="0"/>
      <w:r>
        <w:rPr>
          <w:sz w:val="28"/>
          <w:szCs w:val="28"/>
        </w:rPr>
        <w:t>, в соответствии с Постановлением Правительства Российской Федерации от 26.02.2010 № 96 (далее – антикоррупционная экспертиза НПА);</w:t>
      </w:r>
      <w:r>
        <w:rPr>
          <w:bCs/>
          <w:sz w:val="28"/>
          <w:szCs w:val="28"/>
        </w:rPr>
        <w:t xml:space="preserve"> </w:t>
      </w:r>
    </w:p>
    <w:p w:rsidR="00DD76CD" w:rsidRDefault="00F93F75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оценка коррупционных рисков, возникающих при реализации функций работниками органов местного самоуправления города Фрязино, муниципальных учреждений и организаций;</w:t>
      </w:r>
    </w:p>
    <w:p w:rsidR="00DD76CD" w:rsidRDefault="00F93F75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мониторинг исполнения должностных обязанностей  работниками органов местного самоуправления города Фрязино, муниципальных учреждений и организаций, деятельность которых связана с коррупционными рисками.</w:t>
      </w:r>
    </w:p>
    <w:p w:rsidR="00DD76CD" w:rsidRDefault="00F93F75">
      <w:pPr>
        <w:spacing w:line="360" w:lineRule="auto"/>
        <w:jc w:val="both"/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Применительно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настоящим рекомендация используются следующие </w:t>
      </w:r>
      <w:r>
        <w:rPr>
          <w:b/>
          <w:bCs/>
          <w:sz w:val="28"/>
          <w:szCs w:val="28"/>
        </w:rPr>
        <w:t>понятия:</w:t>
      </w:r>
    </w:p>
    <w:p w:rsidR="00DD76CD" w:rsidRDefault="00F93F75">
      <w:pPr>
        <w:spacing w:line="360" w:lineRule="auto"/>
        <w:jc w:val="both"/>
      </w:pPr>
      <w:proofErr w:type="gramStart"/>
      <w:r>
        <w:rPr>
          <w:sz w:val="28"/>
          <w:szCs w:val="28"/>
        </w:rPr>
        <w:t>1) коррупция —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служебного положения вопреки законным интересам 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незаконное предоставление такой выгоды указанному лицу другими физическими</w:t>
      </w:r>
      <w:proofErr w:type="gramEnd"/>
      <w:r>
        <w:rPr>
          <w:sz w:val="28"/>
          <w:szCs w:val="28"/>
        </w:rPr>
        <w:t xml:space="preserve"> лицами, совершение вышеуказанных деяний от имени или в интересах юридического лица;</w:t>
      </w:r>
    </w:p>
    <w:p w:rsidR="00DD76CD" w:rsidRDefault="00F93F75">
      <w:pPr>
        <w:spacing w:line="360" w:lineRule="auto"/>
        <w:jc w:val="both"/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 — положения  нормативных правовых актов  (проектов нормативных правовых актов), устанавливающие для </w:t>
      </w:r>
      <w:proofErr w:type="spellStart"/>
      <w:r>
        <w:rPr>
          <w:sz w:val="28"/>
          <w:szCs w:val="28"/>
        </w:rPr>
        <w:t>правоприменителя</w:t>
      </w:r>
      <w:proofErr w:type="spellEnd"/>
      <w:r>
        <w:rPr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</w:t>
      </w:r>
      <w:r>
        <w:rPr>
          <w:sz w:val="28"/>
          <w:szCs w:val="28"/>
        </w:rPr>
        <w:lastRenderedPageBreak/>
        <w:t>обременительные требования к гражданам и организациям и тем самым создающие условия для проявления коррупции.</w:t>
      </w:r>
    </w:p>
    <w:p w:rsidR="00DD76CD" w:rsidRPr="003269DD" w:rsidRDefault="00DD76CD">
      <w:pPr>
        <w:spacing w:line="360" w:lineRule="auto"/>
        <w:jc w:val="both"/>
        <w:rPr>
          <w:b/>
          <w:bCs/>
          <w:sz w:val="28"/>
          <w:szCs w:val="28"/>
        </w:rPr>
      </w:pPr>
    </w:p>
    <w:p w:rsidR="00DD76CD" w:rsidRDefault="00F93F75">
      <w:pPr>
        <w:spacing w:line="360" w:lineRule="auto"/>
        <w:jc w:val="both"/>
      </w:pPr>
      <w:proofErr w:type="gramStart"/>
      <w:r>
        <w:rPr>
          <w:b/>
          <w:bCs/>
          <w:sz w:val="28"/>
          <w:szCs w:val="28"/>
          <w:lang w:val="en-US"/>
        </w:rPr>
        <w:t>I</w:t>
      </w:r>
      <w:r>
        <w:rPr>
          <w:b/>
          <w:bCs/>
          <w:sz w:val="28"/>
          <w:szCs w:val="28"/>
        </w:rPr>
        <w:t xml:space="preserve">. Обеспечение обоснованности, </w:t>
      </w:r>
      <w:r>
        <w:rPr>
          <w:b/>
          <w:sz w:val="28"/>
          <w:szCs w:val="28"/>
        </w:rPr>
        <w:t xml:space="preserve">объективности и </w:t>
      </w:r>
      <w:proofErr w:type="spellStart"/>
      <w:r>
        <w:rPr>
          <w:b/>
          <w:sz w:val="28"/>
          <w:szCs w:val="28"/>
        </w:rPr>
        <w:t>проверяемости</w:t>
      </w:r>
      <w:proofErr w:type="spellEnd"/>
      <w:r>
        <w:rPr>
          <w:b/>
          <w:sz w:val="28"/>
          <w:szCs w:val="28"/>
        </w:rPr>
        <w:t xml:space="preserve"> результатов антикоррупционной экспертизы НПА.</w:t>
      </w:r>
      <w:proofErr w:type="gramEnd"/>
    </w:p>
    <w:p w:rsidR="00DD76CD" w:rsidRDefault="00F93F75">
      <w:pPr>
        <w:spacing w:line="360" w:lineRule="auto"/>
        <w:jc w:val="both"/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Для обеспечения обоснованности, объективности и </w:t>
      </w:r>
      <w:proofErr w:type="spellStart"/>
      <w:r>
        <w:rPr>
          <w:sz w:val="28"/>
          <w:szCs w:val="28"/>
        </w:rPr>
        <w:t>проверяемости</w:t>
      </w:r>
      <w:proofErr w:type="spellEnd"/>
      <w:r>
        <w:rPr>
          <w:sz w:val="28"/>
          <w:szCs w:val="28"/>
        </w:rPr>
        <w:t xml:space="preserve"> результатов антикоррупционной экспертизы необходимо проводить экспертизу каждой нормы нормативного правового акта или положения проекта нормативного правового акта.</w:t>
      </w:r>
    </w:p>
    <w:p w:rsidR="00DD76CD" w:rsidRDefault="00F93F75">
      <w:pPr>
        <w:spacing w:line="360" w:lineRule="auto"/>
        <w:jc w:val="both"/>
      </w:pPr>
      <w:r>
        <w:rPr>
          <w:sz w:val="28"/>
          <w:szCs w:val="28"/>
        </w:rPr>
        <w:tab/>
      </w:r>
      <w:r>
        <w:rPr>
          <w:bCs/>
          <w:sz w:val="28"/>
          <w:szCs w:val="28"/>
        </w:rPr>
        <w:t xml:space="preserve">При этом положения проекта нормативного правового акта должны быть подвергнуты анализу на предмет наличия всех </w:t>
      </w:r>
      <w:proofErr w:type="spellStart"/>
      <w:r>
        <w:rPr>
          <w:bCs/>
          <w:sz w:val="28"/>
          <w:szCs w:val="28"/>
        </w:rPr>
        <w:t>коррупциогенных</w:t>
      </w:r>
      <w:proofErr w:type="spellEnd"/>
      <w:r>
        <w:rPr>
          <w:bCs/>
          <w:sz w:val="28"/>
          <w:szCs w:val="28"/>
        </w:rPr>
        <w:t xml:space="preserve"> факторов, предусмотренных</w:t>
      </w:r>
      <w:r>
        <w:rPr>
          <w:b/>
          <w:bCs/>
          <w:sz w:val="28"/>
          <w:szCs w:val="28"/>
        </w:rPr>
        <w:t xml:space="preserve">  </w:t>
      </w:r>
      <w:hyperlink r:id="rId8">
        <w:r>
          <w:rPr>
            <w:rStyle w:val="-"/>
            <w:color w:val="000000"/>
            <w:sz w:val="28"/>
            <w:szCs w:val="28"/>
            <w:u w:val="none"/>
          </w:rPr>
          <w:t>методикой</w:t>
        </w:r>
      </w:hyperlink>
      <w:r>
        <w:rPr>
          <w:sz w:val="28"/>
          <w:szCs w:val="28"/>
        </w:rPr>
        <w:t xml:space="preserve"> проведения антикоррупционной экспертизы нормативных правовых актов и проектов нормативных правовых актов, утвержденной Постановлением Правительства Российской Федерации от 26.02.2010 № 96 (далее - Методика)</w:t>
      </w:r>
      <w:r>
        <w:rPr>
          <w:bCs/>
          <w:sz w:val="28"/>
          <w:szCs w:val="28"/>
        </w:rPr>
        <w:t>.</w:t>
      </w:r>
    </w:p>
    <w:p w:rsidR="00DD76CD" w:rsidRDefault="00F93F75">
      <w:pPr>
        <w:shd w:val="clear" w:color="auto" w:fill="FFFFFF"/>
        <w:spacing w:line="360" w:lineRule="auto"/>
        <w:ind w:right="43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Для выполнения данного правила осуществляются следующие меры:</w:t>
      </w:r>
    </w:p>
    <w:p w:rsidR="00DD76CD" w:rsidRDefault="00F93F75">
      <w:pPr>
        <w:shd w:val="clear" w:color="auto" w:fill="FFFFFF"/>
        <w:spacing w:line="360" w:lineRule="auto"/>
        <w:ind w:right="43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подвергается анализу каждая структурная единица (норма) анализируемого проекта </w:t>
      </w:r>
      <w:r>
        <w:rPr>
          <w:sz w:val="28"/>
          <w:szCs w:val="28"/>
        </w:rPr>
        <w:t>нормативного правового акта</w:t>
      </w:r>
      <w:r>
        <w:rPr>
          <w:bCs/>
          <w:sz w:val="28"/>
          <w:szCs w:val="28"/>
        </w:rPr>
        <w:t xml:space="preserve"> на предмет наличия в ее тексте </w:t>
      </w:r>
      <w:proofErr w:type="spellStart"/>
      <w:r>
        <w:rPr>
          <w:bCs/>
          <w:sz w:val="28"/>
          <w:szCs w:val="28"/>
        </w:rPr>
        <w:t>коррупциогенных</w:t>
      </w:r>
      <w:proofErr w:type="spellEnd"/>
      <w:r>
        <w:rPr>
          <w:bCs/>
          <w:sz w:val="28"/>
          <w:szCs w:val="28"/>
        </w:rPr>
        <w:t xml:space="preserve"> факторов, и соблюдения антикоррупционных требований, предусмотренных методикой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во взаимосвязи с иными нормами этого акта и другими нормативными правовыми актами</w:t>
      </w:r>
      <w:r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ab/>
      </w:r>
    </w:p>
    <w:p w:rsidR="00DD76CD" w:rsidRDefault="00F93F75">
      <w:pPr>
        <w:shd w:val="clear" w:color="auto" w:fill="FFFFFF"/>
        <w:spacing w:line="360" w:lineRule="auto"/>
        <w:ind w:right="43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сопоставляется каждый выявленный </w:t>
      </w:r>
      <w:proofErr w:type="spellStart"/>
      <w:r>
        <w:rPr>
          <w:bCs/>
          <w:sz w:val="28"/>
          <w:szCs w:val="28"/>
        </w:rPr>
        <w:t>коррупциогенный</w:t>
      </w:r>
      <w:proofErr w:type="spellEnd"/>
      <w:r>
        <w:rPr>
          <w:bCs/>
          <w:sz w:val="28"/>
          <w:szCs w:val="28"/>
        </w:rPr>
        <w:t xml:space="preserve"> фактор,  предусмотренный настоящей методикой, со всеми нормами нормативного правового акта на предмет присутствия </w:t>
      </w:r>
      <w:proofErr w:type="spellStart"/>
      <w:r>
        <w:rPr>
          <w:bCs/>
          <w:sz w:val="28"/>
          <w:szCs w:val="28"/>
        </w:rPr>
        <w:t>коррупциогенных</w:t>
      </w:r>
      <w:proofErr w:type="spellEnd"/>
      <w:r>
        <w:rPr>
          <w:bCs/>
          <w:sz w:val="28"/>
          <w:szCs w:val="28"/>
        </w:rPr>
        <w:t xml:space="preserve"> факторов;</w:t>
      </w:r>
    </w:p>
    <w:p w:rsidR="00DD76CD" w:rsidRDefault="00F93F75">
      <w:pPr>
        <w:shd w:val="clear" w:color="auto" w:fill="FFFFFF"/>
        <w:spacing w:line="360" w:lineRule="auto"/>
        <w:ind w:right="43"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– </w:t>
      </w:r>
      <w:r>
        <w:rPr>
          <w:bCs/>
          <w:iCs/>
          <w:sz w:val="28"/>
          <w:szCs w:val="28"/>
        </w:rPr>
        <w:t xml:space="preserve">по результатам экспертизы, в отношении каждой нормы анализируемого нормативного правового акта отмечаются все выявленные в данной норме </w:t>
      </w:r>
      <w:proofErr w:type="spellStart"/>
      <w:r>
        <w:rPr>
          <w:bCs/>
          <w:iCs/>
          <w:sz w:val="28"/>
          <w:szCs w:val="28"/>
        </w:rPr>
        <w:t>коррупциогенные</w:t>
      </w:r>
      <w:proofErr w:type="spellEnd"/>
      <w:r>
        <w:rPr>
          <w:bCs/>
          <w:iCs/>
          <w:sz w:val="28"/>
          <w:szCs w:val="28"/>
        </w:rPr>
        <w:t xml:space="preserve"> факторы. </w:t>
      </w:r>
    </w:p>
    <w:p w:rsidR="00DD76CD" w:rsidRDefault="00F93F75">
      <w:pPr>
        <w:shd w:val="clear" w:color="auto" w:fill="FFFFFF"/>
        <w:tabs>
          <w:tab w:val="left" w:pos="2552"/>
        </w:tabs>
        <w:spacing w:line="360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Для обеспечения </w:t>
      </w:r>
      <w:r>
        <w:rPr>
          <w:sz w:val="28"/>
          <w:szCs w:val="28"/>
        </w:rPr>
        <w:t xml:space="preserve">обоснованности </w:t>
      </w:r>
      <w:r>
        <w:rPr>
          <w:bCs/>
          <w:sz w:val="28"/>
          <w:szCs w:val="28"/>
        </w:rPr>
        <w:t xml:space="preserve">антикоррупционной экспертизы каждая норма проекта нормативного правового акта, содержащая </w:t>
      </w:r>
      <w:proofErr w:type="spellStart"/>
      <w:r>
        <w:rPr>
          <w:bCs/>
          <w:sz w:val="28"/>
          <w:szCs w:val="28"/>
        </w:rPr>
        <w:lastRenderedPageBreak/>
        <w:t>коррупциогенный</w:t>
      </w:r>
      <w:proofErr w:type="spellEnd"/>
      <w:r>
        <w:rPr>
          <w:bCs/>
          <w:sz w:val="28"/>
          <w:szCs w:val="28"/>
        </w:rPr>
        <w:t xml:space="preserve"> фактор, увязывается с соответствующим положением Методики, содержащим описание этого фактора.</w:t>
      </w:r>
    </w:p>
    <w:p w:rsidR="00DD76CD" w:rsidRDefault="00F93F75">
      <w:pPr>
        <w:shd w:val="clear" w:color="auto" w:fill="FFFFFF"/>
        <w:tabs>
          <w:tab w:val="left" w:pos="2552"/>
        </w:tabs>
        <w:spacing w:line="360" w:lineRule="auto"/>
        <w:ind w:firstLine="709"/>
        <w:jc w:val="both"/>
      </w:pPr>
      <w:r>
        <w:rPr>
          <w:bCs/>
          <w:sz w:val="28"/>
          <w:szCs w:val="28"/>
        </w:rPr>
        <w:t xml:space="preserve"> Кроме того, эксперту рекомендуется также увязывать </w:t>
      </w:r>
      <w:proofErr w:type="spellStart"/>
      <w:r>
        <w:rPr>
          <w:bCs/>
          <w:sz w:val="28"/>
          <w:szCs w:val="28"/>
        </w:rPr>
        <w:t>коррупциогенный</w:t>
      </w:r>
      <w:proofErr w:type="spellEnd"/>
      <w:r>
        <w:rPr>
          <w:bCs/>
          <w:sz w:val="28"/>
          <w:szCs w:val="28"/>
        </w:rPr>
        <w:t xml:space="preserve"> фактор с основанными на нем коррупционными проявлениями </w:t>
      </w:r>
      <w:r>
        <w:rPr>
          <w:iCs/>
          <w:sz w:val="28"/>
          <w:szCs w:val="28"/>
        </w:rPr>
        <w:t xml:space="preserve"> (в рамках выполнения данного правила предстоит оценить, какие коррупционные практики могут возникнуть вследствие выявленного </w:t>
      </w:r>
      <w:proofErr w:type="spellStart"/>
      <w:r>
        <w:rPr>
          <w:iCs/>
          <w:sz w:val="28"/>
          <w:szCs w:val="28"/>
        </w:rPr>
        <w:t>коррупциогенного</w:t>
      </w:r>
      <w:proofErr w:type="spellEnd"/>
      <w:r>
        <w:rPr>
          <w:iCs/>
          <w:sz w:val="28"/>
          <w:szCs w:val="28"/>
        </w:rPr>
        <w:t xml:space="preserve"> фактора).</w:t>
      </w:r>
    </w:p>
    <w:p w:rsidR="00DD76CD" w:rsidRDefault="00F93F75">
      <w:pPr>
        <w:spacing w:line="360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ab/>
      </w:r>
      <w:proofErr w:type="spellStart"/>
      <w:r>
        <w:rPr>
          <w:sz w:val="28"/>
          <w:szCs w:val="28"/>
        </w:rPr>
        <w:t>Проверяемость</w:t>
      </w:r>
      <w:proofErr w:type="spellEnd"/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антикоррупционной экспертизы достигается </w:t>
      </w:r>
      <w:r>
        <w:rPr>
          <w:bCs/>
          <w:iCs/>
          <w:sz w:val="28"/>
          <w:szCs w:val="28"/>
        </w:rPr>
        <w:t>за счет анализа каждого проекта нормативного правового акта и его отдельных норм в составе и последовательности операций, предусмотренных процедурой антикоррупционной экспертизы нормативных правовых актов.</w:t>
      </w:r>
      <w:r>
        <w:rPr>
          <w:bCs/>
          <w:sz w:val="28"/>
          <w:szCs w:val="28"/>
        </w:rPr>
        <w:t xml:space="preserve"> Выявленные в ходе экспертизы проекта нормативного правового акта </w:t>
      </w:r>
      <w:proofErr w:type="spellStart"/>
      <w:r>
        <w:rPr>
          <w:bCs/>
          <w:sz w:val="28"/>
          <w:szCs w:val="28"/>
        </w:rPr>
        <w:t>коррупциогенные</w:t>
      </w:r>
      <w:proofErr w:type="spellEnd"/>
      <w:r>
        <w:rPr>
          <w:bCs/>
          <w:sz w:val="28"/>
          <w:szCs w:val="28"/>
        </w:rPr>
        <w:t xml:space="preserve"> факторы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отмечаются в </w:t>
      </w:r>
      <w:r>
        <w:rPr>
          <w:sz w:val="28"/>
          <w:szCs w:val="28"/>
        </w:rPr>
        <w:t xml:space="preserve">заключении по результатам антикоррупционной экспертизы, в котором предлагаются  рекомендации по устранению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факторов, направленные на повышение эффективности правового воздействия на общественные отношения и обеспечение законности.</w:t>
      </w:r>
    </w:p>
    <w:p w:rsidR="00DD76CD" w:rsidRDefault="00F93F75">
      <w:pPr>
        <w:spacing w:line="360" w:lineRule="auto"/>
        <w:jc w:val="both"/>
      </w:pPr>
      <w:r>
        <w:rPr>
          <w:sz w:val="28"/>
          <w:szCs w:val="28"/>
        </w:rPr>
        <w:tab/>
      </w:r>
      <w:r>
        <w:rPr>
          <w:b/>
          <w:sz w:val="28"/>
          <w:szCs w:val="28"/>
          <w:lang w:val="en-US"/>
        </w:rPr>
        <w:t>II</w:t>
      </w:r>
      <w:proofErr w:type="gramStart"/>
      <w:r>
        <w:rPr>
          <w:b/>
          <w:sz w:val="28"/>
          <w:szCs w:val="28"/>
        </w:rPr>
        <w:t>.  Применение</w:t>
      </w:r>
      <w:proofErr w:type="gramEnd"/>
      <w:r>
        <w:rPr>
          <w:b/>
          <w:sz w:val="28"/>
          <w:szCs w:val="28"/>
        </w:rPr>
        <w:t xml:space="preserve"> типологии </w:t>
      </w:r>
      <w:proofErr w:type="spellStart"/>
      <w:r>
        <w:rPr>
          <w:b/>
          <w:sz w:val="28"/>
          <w:szCs w:val="28"/>
        </w:rPr>
        <w:t>коррупциогенных</w:t>
      </w:r>
      <w:proofErr w:type="spellEnd"/>
      <w:r>
        <w:rPr>
          <w:b/>
          <w:sz w:val="28"/>
          <w:szCs w:val="28"/>
        </w:rPr>
        <w:t xml:space="preserve"> факторов</w:t>
      </w:r>
    </w:p>
    <w:p w:rsidR="00DD76CD" w:rsidRDefault="00F93F75">
      <w:pPr>
        <w:spacing w:line="360" w:lineRule="auto"/>
        <w:ind w:firstLine="540"/>
        <w:jc w:val="both"/>
      </w:pPr>
      <w:r>
        <w:rPr>
          <w:b/>
          <w:bCs/>
          <w:sz w:val="28"/>
          <w:szCs w:val="28"/>
        </w:rPr>
        <w:tab/>
      </w:r>
      <w:r>
        <w:rPr>
          <w:sz w:val="28"/>
          <w:szCs w:val="28"/>
        </w:rPr>
        <w:t xml:space="preserve">Согласно пунктам 3, 4 Методики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 разделяются на две группы:</w:t>
      </w:r>
    </w:p>
    <w:p w:rsidR="00DD76CD" w:rsidRDefault="00F93F7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факторы, устанавливающие для </w:t>
      </w:r>
      <w:proofErr w:type="spellStart"/>
      <w:r>
        <w:rPr>
          <w:sz w:val="28"/>
          <w:szCs w:val="28"/>
        </w:rPr>
        <w:t>правоприменителя</w:t>
      </w:r>
      <w:proofErr w:type="spellEnd"/>
      <w:r>
        <w:rPr>
          <w:sz w:val="28"/>
          <w:szCs w:val="28"/>
        </w:rPr>
        <w:t xml:space="preserve"> необоснованно широкие пределы усмотрения или возможность необоснованного применения исключений из общих правил;</w:t>
      </w:r>
    </w:p>
    <w:p w:rsidR="00DD76CD" w:rsidRDefault="00F93F7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факторы, содержащие неопределенные, трудновыполнимые и (или) обременительные требования к гражданам и организациям.</w:t>
      </w:r>
    </w:p>
    <w:p w:rsidR="00DD76CD" w:rsidRDefault="00F93F75">
      <w:pPr>
        <w:spacing w:line="360" w:lineRule="auto"/>
        <w:ind w:firstLine="708"/>
        <w:jc w:val="both"/>
      </w:pPr>
      <w:r>
        <w:rPr>
          <w:sz w:val="28"/>
          <w:szCs w:val="28"/>
        </w:rPr>
        <w:t xml:space="preserve">Методика содержит 11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факторов. </w:t>
      </w:r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6"/>
          <w:szCs w:val="26"/>
        </w:rPr>
        <w:t>1. Широта дискреционных полномочий</w:t>
      </w:r>
      <w:r>
        <w:rPr>
          <w:sz w:val="28"/>
          <w:szCs w:val="28"/>
        </w:rPr>
        <w:t xml:space="preserve"> – отсутствие или неопределенность сроков, условий или оснований принятия решения, </w:t>
      </w:r>
      <w:r>
        <w:rPr>
          <w:sz w:val="28"/>
          <w:szCs w:val="28"/>
        </w:rPr>
        <w:lastRenderedPageBreak/>
        <w:t>наличие дублирующих полномочий органов государственной власти или органов местного самоуправления (их должностных лиц).</w:t>
      </w:r>
    </w:p>
    <w:p w:rsidR="00DD76CD" w:rsidRDefault="00F93F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Любая властная деятельность предполагает определенную долю усмотрения органов и должностных лиц, ее реализующих. Этим обеспечивается необходимый объем самостоятельности при принятии тех или иных решений. Вместе с тем, объем такой самостоятельности не может быть абсолютным, поскольку это неизбежно приведет к произвольному  принятию решений.</w:t>
      </w:r>
    </w:p>
    <w:p w:rsidR="00DD76CD" w:rsidRDefault="00F93F75">
      <w:pPr>
        <w:spacing w:line="360" w:lineRule="auto"/>
        <w:ind w:firstLine="708"/>
        <w:jc w:val="both"/>
      </w:pPr>
      <w:r>
        <w:rPr>
          <w:sz w:val="28"/>
          <w:szCs w:val="28"/>
        </w:rPr>
        <w:t xml:space="preserve">Необоснованное расширение дискреционных полномочий является фактором </w:t>
      </w:r>
      <w:proofErr w:type="spellStart"/>
      <w:r>
        <w:rPr>
          <w:sz w:val="28"/>
          <w:szCs w:val="28"/>
        </w:rPr>
        <w:t>коррупциогенности</w:t>
      </w:r>
      <w:proofErr w:type="spellEnd"/>
      <w:r>
        <w:rPr>
          <w:sz w:val="28"/>
          <w:szCs w:val="28"/>
        </w:rPr>
        <w:t>. Диагностировать расширение дискреционных полномочий можно посредством анализа следующих основных элементов управленческой деятельности:</w:t>
      </w:r>
    </w:p>
    <w:p w:rsidR="00DD76CD" w:rsidRDefault="00F93F75">
      <w:pPr>
        <w:spacing w:line="360" w:lineRule="auto"/>
        <w:ind w:firstLine="708"/>
        <w:jc w:val="both"/>
      </w:pPr>
      <w:r>
        <w:rPr>
          <w:sz w:val="28"/>
          <w:szCs w:val="28"/>
        </w:rPr>
        <w:t xml:space="preserve">А) Основания принятия решений. </w:t>
      </w:r>
    </w:p>
    <w:p w:rsidR="00DD76CD" w:rsidRDefault="00F93F75">
      <w:pPr>
        <w:spacing w:line="360" w:lineRule="auto"/>
        <w:jc w:val="both"/>
      </w:pPr>
      <w:r>
        <w:rPr>
          <w:sz w:val="28"/>
          <w:szCs w:val="28"/>
        </w:rPr>
        <w:t xml:space="preserve">У должностного лица, как правило, есть возможность выбора как минимум из двух вариантов решений – положительного (разрешение) и отрицательного (отказ). </w:t>
      </w:r>
      <w:proofErr w:type="spellStart"/>
      <w:r>
        <w:rPr>
          <w:sz w:val="28"/>
          <w:szCs w:val="28"/>
        </w:rPr>
        <w:t>Коррупциогенность</w:t>
      </w:r>
      <w:proofErr w:type="spellEnd"/>
      <w:r>
        <w:rPr>
          <w:sz w:val="28"/>
          <w:szCs w:val="28"/>
        </w:rPr>
        <w:t xml:space="preserve"> возникает в том случае, если нормативный правовой акт предоставляет несколько возможных вариантов поведения без установления четких оснований, обусловливающих принятие того или иного решения. </w:t>
      </w:r>
    </w:p>
    <w:p w:rsidR="00DD76CD" w:rsidRDefault="00F93F75">
      <w:pPr>
        <w:spacing w:line="360" w:lineRule="auto"/>
        <w:ind w:firstLine="708"/>
        <w:jc w:val="both"/>
      </w:pPr>
      <w:r>
        <w:rPr>
          <w:sz w:val="28"/>
          <w:szCs w:val="28"/>
        </w:rPr>
        <w:t xml:space="preserve">Б) Сроки принятия решений. </w:t>
      </w:r>
    </w:p>
    <w:p w:rsidR="00DD76CD" w:rsidRDefault="00F93F75">
      <w:pPr>
        <w:spacing w:line="360" w:lineRule="auto"/>
        <w:jc w:val="both"/>
      </w:pPr>
      <w:r>
        <w:rPr>
          <w:sz w:val="28"/>
          <w:szCs w:val="28"/>
        </w:rPr>
        <w:t xml:space="preserve">Зачастую практически невозможно определить срок выполнения того или иного административного действия, либо процедуры. Риск коррупционных проявлений возрастает с увеличением продолжительности таких сроков или с установлением широкого периода времени совершения отдельных действий (принятия решений), а также при отсутствии таких сроков. </w:t>
      </w:r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качестве примера можно привести такое положение:  «</w:t>
      </w:r>
      <w:r>
        <w:rPr>
          <w:i/>
          <w:sz w:val="28"/>
          <w:szCs w:val="28"/>
        </w:rPr>
        <w:t>сообщение об операции незамедлительно передается специальному должностному лицу для принятия решения о целесообразности его представления руководителю организации</w:t>
      </w:r>
      <w:r>
        <w:rPr>
          <w:sz w:val="28"/>
          <w:szCs w:val="28"/>
        </w:rPr>
        <w:t xml:space="preserve">». При этом использование категории оценочного характера </w:t>
      </w:r>
      <w:r>
        <w:rPr>
          <w:sz w:val="28"/>
          <w:szCs w:val="28"/>
        </w:rPr>
        <w:lastRenderedPageBreak/>
        <w:t>«</w:t>
      </w:r>
      <w:r>
        <w:rPr>
          <w:i/>
          <w:sz w:val="28"/>
          <w:szCs w:val="28"/>
        </w:rPr>
        <w:t>незамедлительно</w:t>
      </w:r>
      <w:r>
        <w:rPr>
          <w:sz w:val="28"/>
          <w:szCs w:val="28"/>
        </w:rPr>
        <w:t>» не позволяет точно определить срок, в течение которого указанная обязанность должна быть исполнена.</w:t>
      </w:r>
    </w:p>
    <w:p w:rsidR="00DD76CD" w:rsidRDefault="00F93F75">
      <w:pPr>
        <w:spacing w:line="360" w:lineRule="auto"/>
        <w:ind w:firstLine="708"/>
        <w:jc w:val="both"/>
      </w:pPr>
      <w:r>
        <w:rPr>
          <w:sz w:val="28"/>
          <w:szCs w:val="28"/>
        </w:rPr>
        <w:t>В) Дублирующие полномочия.</w:t>
      </w:r>
      <w:r>
        <w:rPr>
          <w:b/>
          <w:sz w:val="28"/>
          <w:szCs w:val="28"/>
        </w:rPr>
        <w:t xml:space="preserve"> </w:t>
      </w:r>
    </w:p>
    <w:p w:rsidR="00DD76CD" w:rsidRDefault="00F93F75">
      <w:pPr>
        <w:spacing w:line="360" w:lineRule="auto"/>
        <w:jc w:val="both"/>
      </w:pPr>
      <w:proofErr w:type="spellStart"/>
      <w:r>
        <w:rPr>
          <w:sz w:val="28"/>
          <w:szCs w:val="28"/>
        </w:rPr>
        <w:t>Коррупциогенность</w:t>
      </w:r>
      <w:proofErr w:type="spellEnd"/>
      <w:r>
        <w:rPr>
          <w:sz w:val="28"/>
          <w:szCs w:val="28"/>
        </w:rPr>
        <w:t xml:space="preserve"> вызывает установление дублирующих полномочий различных должностных лиц в рамках одного органа. Наличие дублирующих полномочий, как правило, является следствием нечеткого разграничения компетенции указанных должностных лиц.  </w:t>
      </w:r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примера можно привести дублирование полномочий лиц, </w:t>
      </w:r>
      <w:r>
        <w:rPr>
          <w:bCs/>
          <w:sz w:val="28"/>
          <w:szCs w:val="28"/>
        </w:rPr>
        <w:t>уполномоченные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рассматривать дела об административных правонарушениях. </w:t>
      </w:r>
      <w:r>
        <w:rPr>
          <w:sz w:val="28"/>
          <w:szCs w:val="28"/>
        </w:rPr>
        <w:t>Как правило, такие полномочия являются параллельными, что следует рассматривать как следствие нечеткого разграничения компетенции контрольных и надзорных органов в рассматриваемой сфере.</w:t>
      </w:r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Дискреционные полномочия могут устанавливаться с помощью таких формул, как: </w:t>
      </w:r>
      <w:r>
        <w:rPr>
          <w:bCs/>
          <w:i/>
          <w:iCs/>
          <w:sz w:val="28"/>
          <w:szCs w:val="28"/>
        </w:rPr>
        <w:t>«при наличии уважительных причин орган может разрешить...»,</w:t>
      </w:r>
      <w:r>
        <w:rPr>
          <w:b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</w:rPr>
        <w:t>«решение может быть принято, если это не противоречит общественным интересам...»</w:t>
      </w:r>
      <w:r>
        <w:rPr>
          <w:i/>
          <w:iCs/>
          <w:sz w:val="28"/>
          <w:szCs w:val="28"/>
        </w:rPr>
        <w:t>, «проинформировать в кратчайшие сроки» и т.д</w:t>
      </w:r>
      <w:r>
        <w:rPr>
          <w:sz w:val="28"/>
          <w:szCs w:val="28"/>
        </w:rPr>
        <w:t xml:space="preserve">. </w:t>
      </w:r>
    </w:p>
    <w:p w:rsidR="00DD76CD" w:rsidRDefault="00F93F75">
      <w:pPr>
        <w:spacing w:line="360" w:lineRule="auto"/>
        <w:ind w:firstLine="708"/>
        <w:jc w:val="both"/>
        <w:rPr>
          <w:b/>
          <w:sz w:val="28"/>
          <w:szCs w:val="28"/>
        </w:rPr>
      </w:pPr>
      <w:r>
        <w:rPr>
          <w:b/>
          <w:sz w:val="26"/>
          <w:szCs w:val="26"/>
        </w:rPr>
        <w:t xml:space="preserve">2. Определение компетенции по формулам «вправе» </w:t>
      </w:r>
      <w:r>
        <w:rPr>
          <w:b/>
          <w:sz w:val="28"/>
          <w:szCs w:val="28"/>
        </w:rPr>
        <w:t xml:space="preserve">– </w:t>
      </w:r>
      <w:r>
        <w:rPr>
          <w:sz w:val="28"/>
          <w:szCs w:val="28"/>
        </w:rPr>
        <w:t>диспозитивное установление возможности совершения органами государственной власти или органами местного самоуправления (их должностными лицами) действий в отношении граждан и организаций.</w:t>
      </w:r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многих нормативных правовых актах компетенция органа власти (должностного лица) при реализации различного рода полномочий (разрешительных, контрольных и т.д.) определяется по формулам «вправе», «может». В теории права обязанности и права для органов власти неразрывно связаны и образуют полномочия. Разделение прав и обязанностей в нормативных правовых актах создают иллюзию возможности реализовывать полномочия как права. При этом осуществление таких «прав» может ставиться в зависимость от ненадлежащей выгоды. Порядок и условия исполнения соответствующих полномочий должны быть четко </w:t>
      </w:r>
      <w:r>
        <w:rPr>
          <w:sz w:val="28"/>
          <w:szCs w:val="28"/>
        </w:rPr>
        <w:lastRenderedPageBreak/>
        <w:t xml:space="preserve">регламентированы. Случаи определения компетенций по формуле </w:t>
      </w:r>
      <w:r>
        <w:rPr>
          <w:i/>
          <w:iCs/>
          <w:sz w:val="28"/>
          <w:szCs w:val="28"/>
        </w:rPr>
        <w:t>«вправе»</w:t>
      </w:r>
      <w:r>
        <w:rPr>
          <w:sz w:val="28"/>
          <w:szCs w:val="28"/>
        </w:rPr>
        <w:t xml:space="preserve"> должны быть сведены к минимуму находиться в строгой зависимости от определяемых законодательством условий.</w:t>
      </w:r>
    </w:p>
    <w:p w:rsidR="00DD76CD" w:rsidRDefault="00F93F75">
      <w:pPr>
        <w:spacing w:line="360" w:lineRule="auto"/>
        <w:ind w:firstLine="540"/>
        <w:jc w:val="both"/>
        <w:outlineLvl w:val="1"/>
        <w:rPr>
          <w:i/>
          <w:sz w:val="28"/>
          <w:szCs w:val="28"/>
        </w:rPr>
      </w:pPr>
      <w:proofErr w:type="gramStart"/>
      <w:r>
        <w:rPr>
          <w:bCs/>
          <w:sz w:val="28"/>
          <w:szCs w:val="28"/>
        </w:rPr>
        <w:t>Например,</w:t>
      </w:r>
      <w:r>
        <w:rPr>
          <w:bCs/>
          <w:i/>
          <w:sz w:val="28"/>
          <w:szCs w:val="28"/>
        </w:rPr>
        <w:t xml:space="preserve"> </w:t>
      </w:r>
      <w:r>
        <w:rPr>
          <w:bCs/>
          <w:sz w:val="28"/>
          <w:szCs w:val="28"/>
        </w:rPr>
        <w:t>в положении об организации и осуществлении перевозок пассажиров автомобильным транспортом по регулярным межмуниципальным маршрутам в пригородном и междугородном сообщениях указано:</w:t>
      </w:r>
      <w:r>
        <w:rPr>
          <w:bCs/>
          <w:i/>
          <w:sz w:val="28"/>
          <w:szCs w:val="28"/>
        </w:rPr>
        <w:t xml:space="preserve"> </w:t>
      </w:r>
      <w:proofErr w:type="gramEnd"/>
    </w:p>
    <w:p w:rsidR="00DD76CD" w:rsidRDefault="00F93F75">
      <w:pPr>
        <w:spacing w:line="360" w:lineRule="auto"/>
        <w:ind w:firstLine="540"/>
        <w:jc w:val="both"/>
        <w:outlineLvl w:val="1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«Маршрут может быть закрыт или приостановлен в случаях:</w:t>
      </w:r>
    </w:p>
    <w:p w:rsidR="00DD76CD" w:rsidRDefault="00F93F75">
      <w:pPr>
        <w:spacing w:line="360" w:lineRule="auto"/>
        <w:ind w:firstLine="540"/>
        <w:jc w:val="both"/>
        <w:outlineLvl w:val="1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– отказа перевозчика обслуживать маршрут;</w:t>
      </w:r>
    </w:p>
    <w:p w:rsidR="00DD76CD" w:rsidRDefault="00F93F75">
      <w:pPr>
        <w:spacing w:line="360" w:lineRule="auto"/>
        <w:ind w:firstLine="540"/>
        <w:jc w:val="both"/>
        <w:outlineLvl w:val="1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– принятия Министерством строительства, архитектуры и транспорта соответствующего решения, связанного с неоднократными нарушениями перевозчиком требований Положения;</w:t>
      </w:r>
    </w:p>
    <w:p w:rsidR="00DD76CD" w:rsidRDefault="00F93F75">
      <w:pPr>
        <w:spacing w:line="360" w:lineRule="auto"/>
        <w:ind w:firstLine="540"/>
        <w:jc w:val="both"/>
        <w:outlineLvl w:val="1"/>
        <w:rPr>
          <w:i/>
          <w:sz w:val="28"/>
          <w:szCs w:val="28"/>
        </w:rPr>
      </w:pPr>
      <w:r>
        <w:rPr>
          <w:bCs/>
          <w:i/>
          <w:sz w:val="28"/>
          <w:szCs w:val="28"/>
        </w:rPr>
        <w:t>– невозможности выполнить перевозку в сложных дорожных или метеорологических условиях.</w:t>
      </w:r>
    </w:p>
    <w:p w:rsidR="00DD76CD" w:rsidRDefault="00F93F75">
      <w:pPr>
        <w:spacing w:line="360" w:lineRule="auto"/>
        <w:ind w:firstLine="540"/>
        <w:jc w:val="both"/>
        <w:outlineLvl w:val="1"/>
        <w:rPr>
          <w:i/>
          <w:sz w:val="28"/>
          <w:szCs w:val="28"/>
        </w:rPr>
      </w:pPr>
      <w:proofErr w:type="gramStart"/>
      <w:r>
        <w:rPr>
          <w:bCs/>
          <w:i/>
          <w:sz w:val="28"/>
          <w:szCs w:val="28"/>
        </w:rPr>
        <w:t>В</w:t>
      </w:r>
      <w:r>
        <w:rPr>
          <w:b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>случае систематического несоблюдения перевозчиком требований, предъявляемых к организации и осуществлению перевозок пассажиров автомобильным транспортом по автобусному маршруту общего пользования в пригородном (межрайонном) и междугородном сообщениях в  Министерство строительства, архитектуры и транспорта может принять решение о передаче права обслуживания маршрута другому перевозчику в порядке, установленном пунктом 3.1 Положения.»</w:t>
      </w:r>
      <w:proofErr w:type="gramEnd"/>
    </w:p>
    <w:p w:rsidR="00DD76CD" w:rsidRDefault="00F93F75">
      <w:pPr>
        <w:spacing w:line="360" w:lineRule="auto"/>
        <w:ind w:firstLine="540"/>
        <w:jc w:val="both"/>
        <w:outlineLvl w:val="1"/>
        <w:rPr>
          <w:i/>
          <w:sz w:val="28"/>
          <w:szCs w:val="28"/>
        </w:rPr>
      </w:pPr>
      <w:r>
        <w:rPr>
          <w:bCs/>
          <w:sz w:val="28"/>
          <w:szCs w:val="28"/>
        </w:rPr>
        <w:t>Формулировки «может быть», «может принять», дают уполномоченному органу государственной власти возможность использовать соответствующие полномочия, по собственному усмотрению.</w:t>
      </w:r>
      <w:r>
        <w:rPr>
          <w:sz w:val="28"/>
          <w:szCs w:val="28"/>
        </w:rPr>
        <w:t xml:space="preserve"> </w:t>
      </w:r>
    </w:p>
    <w:p w:rsidR="00DD76CD" w:rsidRDefault="00F93F75">
      <w:pPr>
        <w:spacing w:line="360" w:lineRule="auto"/>
        <w:ind w:firstLine="539"/>
        <w:jc w:val="both"/>
      </w:pPr>
      <w:r>
        <w:rPr>
          <w:i/>
          <w:sz w:val="28"/>
          <w:szCs w:val="28"/>
        </w:rPr>
        <w:t xml:space="preserve">Пример:  «Лицо, в отношении которого имеются достаточные основания полагать, что оно больно наркоманией, </w:t>
      </w:r>
      <w:proofErr w:type="gramStart"/>
      <w:r>
        <w:rPr>
          <w:i/>
          <w:sz w:val="28"/>
          <w:szCs w:val="28"/>
        </w:rPr>
        <w:t>находится</w:t>
      </w:r>
      <w:proofErr w:type="gramEnd"/>
      <w:r>
        <w:rPr>
          <w:i/>
          <w:sz w:val="28"/>
          <w:szCs w:val="28"/>
        </w:rPr>
        <w:t xml:space="preserve"> в состоянии наркотического опьянения либо употребило наркотическое средство или психотропное вещество без назначения врача, может быть направлено на медицинское освидетельствование». (Часть 1 статьи 44 Федерального закона от 08.01.1998 N 3-ФЗ «О наркотических средствах и психотропных </w:t>
      </w:r>
      <w:r>
        <w:rPr>
          <w:i/>
          <w:sz w:val="28"/>
          <w:szCs w:val="28"/>
        </w:rPr>
        <w:lastRenderedPageBreak/>
        <w:t xml:space="preserve">веществах»). </w:t>
      </w:r>
      <w:r>
        <w:rPr>
          <w:sz w:val="28"/>
          <w:szCs w:val="28"/>
        </w:rPr>
        <w:t>Использование формулировки «</w:t>
      </w:r>
      <w:r>
        <w:rPr>
          <w:i/>
          <w:sz w:val="28"/>
          <w:szCs w:val="28"/>
        </w:rPr>
        <w:t>может быть направлено</w:t>
      </w:r>
      <w:r>
        <w:rPr>
          <w:sz w:val="28"/>
          <w:szCs w:val="28"/>
        </w:rPr>
        <w:t>» позволяет произвольно решать вопрос о направлении на медицинское освидетельствование.</w:t>
      </w:r>
    </w:p>
    <w:p w:rsidR="00DD76CD" w:rsidRDefault="00F93F75">
      <w:pPr>
        <w:spacing w:line="360" w:lineRule="auto"/>
        <w:ind w:firstLine="708"/>
        <w:jc w:val="both"/>
      </w:pPr>
      <w:r>
        <w:rPr>
          <w:b/>
          <w:sz w:val="26"/>
          <w:szCs w:val="26"/>
        </w:rPr>
        <w:t>3.</w:t>
      </w:r>
      <w:r>
        <w:rPr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Выборочное изменение объема прав и обязанностей </w:t>
      </w:r>
      <w:r>
        <w:rPr>
          <w:sz w:val="28"/>
          <w:szCs w:val="28"/>
        </w:rPr>
        <w:t>– возможность необоснованного установления исключений из общего порядка для граждан и организаций по усмотрению органов местного самоуправления (их должностных лиц);</w:t>
      </w:r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Нормативные правовые акты могут предусматривать для граждан и организаций запреты, ограничения,  либо напротив, создавать для них исключения из общего порядка и привилегии. Такие изменения объема прав организаций порождают </w:t>
      </w:r>
      <w:proofErr w:type="spellStart"/>
      <w:r>
        <w:rPr>
          <w:sz w:val="28"/>
          <w:szCs w:val="28"/>
        </w:rPr>
        <w:t>коррупциогенность</w:t>
      </w:r>
      <w:proofErr w:type="spellEnd"/>
      <w:r>
        <w:rPr>
          <w:sz w:val="28"/>
          <w:szCs w:val="28"/>
        </w:rPr>
        <w:t xml:space="preserve"> в том случае, если они осуществляются исключительно по усмотрению должностных лиц не основанном на установленных нормативными правовыми актами условиях принятия решений. </w:t>
      </w:r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Например, в законодательных актах, как правило, не прописано, какие именно сведения  должны предоставлять юридические и физические лица и каков их характер. Тем самым создаются условия для выборочного изменения объема прав и обязанностей указанных субъектов права.</w:t>
      </w:r>
    </w:p>
    <w:p w:rsidR="00DD76CD" w:rsidRDefault="00F93F75">
      <w:pPr>
        <w:spacing w:line="360" w:lineRule="auto"/>
        <w:ind w:firstLine="708"/>
        <w:jc w:val="both"/>
      </w:pPr>
      <w:r>
        <w:rPr>
          <w:sz w:val="28"/>
          <w:szCs w:val="28"/>
        </w:rPr>
        <w:t xml:space="preserve">Зачастую применяется такая формула: </w:t>
      </w:r>
      <w:r>
        <w:rPr>
          <w:i/>
          <w:sz w:val="28"/>
          <w:szCs w:val="28"/>
        </w:rPr>
        <w:t xml:space="preserve">«по согласованию с уполномоченным  органом  указанная информация может представляться на бумажном носителе» </w:t>
      </w:r>
      <w:r>
        <w:rPr>
          <w:sz w:val="28"/>
          <w:szCs w:val="28"/>
        </w:rPr>
        <w:t>(а не на электронном). Тем самым создаются предпосылки для избирательного подхода к выборочному применению органом власти способа представления соответствующей информации.</w:t>
      </w:r>
    </w:p>
    <w:p w:rsidR="00DD76CD" w:rsidRDefault="00F93F75">
      <w:pPr>
        <w:spacing w:line="360" w:lineRule="auto"/>
        <w:ind w:firstLine="708"/>
        <w:jc w:val="both"/>
      </w:pPr>
      <w:r>
        <w:rPr>
          <w:b/>
          <w:bCs/>
          <w:sz w:val="26"/>
          <w:szCs w:val="26"/>
        </w:rPr>
        <w:t>4. Чрезмерная свобода подзаконного нормотворчества</w:t>
      </w:r>
      <w:r>
        <w:rPr>
          <w:b/>
          <w:sz w:val="28"/>
          <w:szCs w:val="28"/>
        </w:rPr>
        <w:t xml:space="preserve">  – </w:t>
      </w:r>
      <w:r>
        <w:rPr>
          <w:sz w:val="28"/>
          <w:szCs w:val="28"/>
        </w:rPr>
        <w:t>наличие бланкетных и отсылочных норм, приводящих к принятию подзаконных актов, вторгающихся в компетенцию органа  местного самоуправления, принявшего первоначальный нормативный правовой акт.</w:t>
      </w:r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Данный </w:t>
      </w:r>
      <w:proofErr w:type="spellStart"/>
      <w:r>
        <w:rPr>
          <w:sz w:val="28"/>
          <w:szCs w:val="28"/>
        </w:rPr>
        <w:t>коррупциогенный</w:t>
      </w:r>
      <w:proofErr w:type="spellEnd"/>
      <w:r>
        <w:rPr>
          <w:sz w:val="28"/>
          <w:szCs w:val="28"/>
        </w:rPr>
        <w:t xml:space="preserve"> фактор проявляется в подзаконной регламентации вопросов, значимость которых, обусловливает необходимость их разрешения на уровне закона (НПА). Необходимо чтобы границы такого </w:t>
      </w:r>
      <w:r>
        <w:rPr>
          <w:sz w:val="28"/>
          <w:szCs w:val="28"/>
        </w:rPr>
        <w:lastRenderedPageBreak/>
        <w:t xml:space="preserve">нормотворчества и его существенные условия регламентировались законом (НПА). В противном случае, менее прозрачный порядок подзаконного нормотворчества может способствовать коррупционным проявлениям. Зачастую такие акты противоречат закону (НПА). Среди их положений присутствуют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нормы. </w:t>
      </w:r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выявления данного </w:t>
      </w:r>
      <w:proofErr w:type="spellStart"/>
      <w:r>
        <w:rPr>
          <w:sz w:val="28"/>
          <w:szCs w:val="28"/>
        </w:rPr>
        <w:t>коррупциогенного</w:t>
      </w:r>
      <w:proofErr w:type="spellEnd"/>
      <w:r>
        <w:rPr>
          <w:sz w:val="28"/>
          <w:szCs w:val="28"/>
        </w:rPr>
        <w:t xml:space="preserve"> фактора эксперту следует, не ограничиваясь текстом анализируемого нормативного правового акта, проверить подзаконный нормативный правовой акт на </w:t>
      </w:r>
      <w:proofErr w:type="spellStart"/>
      <w:r>
        <w:rPr>
          <w:sz w:val="28"/>
          <w:szCs w:val="28"/>
        </w:rPr>
        <w:t>коррупциогенность</w:t>
      </w:r>
      <w:proofErr w:type="spellEnd"/>
      <w:r>
        <w:rPr>
          <w:sz w:val="28"/>
          <w:szCs w:val="28"/>
        </w:rPr>
        <w:t xml:space="preserve">. Также следует отметить, что законодательный акт, как и подзаконный нормативный правовой акт, может предусматривать широкие возможности локального нормотворчества, что свидетельствует о </w:t>
      </w:r>
      <w:proofErr w:type="gramStart"/>
      <w:r>
        <w:rPr>
          <w:sz w:val="28"/>
          <w:szCs w:val="28"/>
        </w:rPr>
        <w:t>не выполнении</w:t>
      </w:r>
      <w:proofErr w:type="gramEnd"/>
      <w:r>
        <w:rPr>
          <w:sz w:val="28"/>
          <w:szCs w:val="28"/>
        </w:rPr>
        <w:t xml:space="preserve"> регулирующих функций органом власти. Оставляя подобные пробелы для самостоятельного восполнения другими субъектами права, законодательный акт может поощрять легализацию реально применяемых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схем. На наличие рассматриваемого </w:t>
      </w:r>
      <w:proofErr w:type="spellStart"/>
      <w:r>
        <w:rPr>
          <w:sz w:val="28"/>
          <w:szCs w:val="28"/>
        </w:rPr>
        <w:t>коррупциогенного</w:t>
      </w:r>
      <w:proofErr w:type="spellEnd"/>
      <w:r>
        <w:rPr>
          <w:sz w:val="28"/>
          <w:szCs w:val="28"/>
        </w:rPr>
        <w:t xml:space="preserve"> фактора в тексте нормативного правового акта указывают отсылочные и бланкетные нормы. </w:t>
      </w:r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Например, в законодательстве Российской Федерации часто встречаются случаи двухступенчатого делегирования нормотворческих полномочий:</w:t>
      </w:r>
    </w:p>
    <w:p w:rsidR="00DD76CD" w:rsidRDefault="00F93F75">
      <w:pPr>
        <w:spacing w:line="360" w:lineRule="auto"/>
        <w:ind w:firstLine="708"/>
        <w:jc w:val="both"/>
      </w:pPr>
      <w:r>
        <w:rPr>
          <w:sz w:val="28"/>
          <w:szCs w:val="28"/>
        </w:rPr>
        <w:t>вначале порядок установления федеральных норм делегируется Правительству Российской Федерации, впоследствии установление таких норм Правительство Российской Федерации делегирует федеральным органам исполнительной власти и/или их подведомственным организациям.</w:t>
      </w:r>
    </w:p>
    <w:p w:rsidR="00DD76CD" w:rsidRDefault="00F93F75">
      <w:pPr>
        <w:spacing w:line="360" w:lineRule="auto"/>
        <w:ind w:firstLine="708"/>
        <w:jc w:val="both"/>
      </w:pPr>
      <w:r>
        <w:rPr>
          <w:b/>
          <w:sz w:val="26"/>
          <w:szCs w:val="26"/>
        </w:rPr>
        <w:t>5. Принятие нормативного правового акта за пределами компетенции –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нарушение компетенции органов местного самоуправления (их должностных лиц) при принятии нормативных правовых актов.</w:t>
      </w:r>
    </w:p>
    <w:p w:rsidR="00DD76CD" w:rsidRDefault="00F93F75">
      <w:pPr>
        <w:spacing w:line="360" w:lineRule="auto"/>
        <w:ind w:firstLine="708"/>
        <w:jc w:val="both"/>
      </w:pPr>
      <w:r>
        <w:rPr>
          <w:sz w:val="28"/>
          <w:szCs w:val="28"/>
        </w:rPr>
        <w:t>Деятельность любого органа власти должна быть основана на компетенции этого органа. Он не вправе выходить за ее пределы, обозначенные в статутном акте. Нарушения установленного объема компетенции может выражаться:</w:t>
      </w:r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в принятии нормативного правового акта, регламентирующего вопросы, которые должны решаться на уровне законодательного акта;</w:t>
      </w:r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– в принятии нормативного правового акта, регламентирующего вопросы, которые должны регламентироваться нормативными правовыми актами других органов.</w:t>
      </w:r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выявления данного </w:t>
      </w:r>
      <w:proofErr w:type="spellStart"/>
      <w:r>
        <w:rPr>
          <w:sz w:val="28"/>
          <w:szCs w:val="28"/>
        </w:rPr>
        <w:t>коррупциогенного</w:t>
      </w:r>
      <w:proofErr w:type="spellEnd"/>
      <w:r>
        <w:rPr>
          <w:sz w:val="28"/>
          <w:szCs w:val="28"/>
        </w:rPr>
        <w:t xml:space="preserve"> фактора эксперту необходимо проанализировать статутный акт, определяющий компетенцию органа, принявшего нормативный правовой акт (закон, положение об органе в установленной сфере). При этом необходимо определить, насколько принятие нормативного правового акта соответствует полномочиям органа.</w:t>
      </w:r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примера можно рассмотреть следующую ситуацию.  </w:t>
      </w:r>
      <w:r>
        <w:rPr>
          <w:bCs/>
          <w:sz w:val="28"/>
          <w:szCs w:val="28"/>
        </w:rPr>
        <w:t xml:space="preserve">Федеральным </w:t>
      </w:r>
      <w:hyperlink r:id="rId9">
        <w:r>
          <w:rPr>
            <w:rStyle w:val="-"/>
            <w:bCs/>
            <w:color w:val="000000"/>
            <w:sz w:val="28"/>
            <w:szCs w:val="28"/>
          </w:rPr>
          <w:t>законом</w:t>
        </w:r>
      </w:hyperlink>
      <w:r>
        <w:rPr>
          <w:bCs/>
          <w:sz w:val="28"/>
          <w:szCs w:val="28"/>
        </w:rPr>
        <w:t xml:space="preserve"> от 27 декабря 2009 г. № 365-ФЗ  установлено, что впредь до утверждения федеральными органами административных регламентов предоставления государственных услуг и исполнения государственных функций в сфере переданных полномочий, высшее должностное лицо субъекта Российской Федерации, вправе утверждать соответствующие административные регламенты, которые не могут противоречить нормативным правовым актам Российской Федерации.</w:t>
      </w:r>
      <w:r>
        <w:rPr>
          <w:sz w:val="28"/>
          <w:szCs w:val="28"/>
        </w:rPr>
        <w:t xml:space="preserve"> Вместе с тем, на практике встречаются случаи, когда соответствующие административные регламенты утверждаются иными органами государственной власти субъекта Российской Федерации за пределами их компетенции</w:t>
      </w:r>
      <w:r>
        <w:rPr>
          <w:rStyle w:val="a9"/>
          <w:sz w:val="28"/>
          <w:szCs w:val="28"/>
        </w:rPr>
        <w:footnoteReference w:id="1"/>
      </w:r>
      <w:r>
        <w:rPr>
          <w:sz w:val="28"/>
          <w:szCs w:val="28"/>
        </w:rPr>
        <w:t>.</w:t>
      </w:r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bCs/>
          <w:sz w:val="26"/>
          <w:szCs w:val="26"/>
        </w:rPr>
        <w:t>6. Заполнение законодательных пробелов при помощи подзаконных актов в отсутствие законодательной делегации соответствующих полномочий</w:t>
      </w:r>
      <w:r>
        <w:rPr>
          <w:sz w:val="28"/>
          <w:szCs w:val="28"/>
        </w:rPr>
        <w:t xml:space="preserve"> – установление общеобязательных правил поведения в подзаконном акте в условиях отсутствия закона. </w:t>
      </w:r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определения законодательного пробела необходимо провести анализ того, насколько достигаются цели и задачи правового регулирования в соответствующей сфере общественных отношений, все ли они </w:t>
      </w:r>
      <w:r>
        <w:rPr>
          <w:sz w:val="28"/>
          <w:szCs w:val="28"/>
        </w:rPr>
        <w:lastRenderedPageBreak/>
        <w:t xml:space="preserve">раскрываются и конкретизируются. В качестве типичного недостатка действующего законодательства, основанного на пробелах правового регулирования можно отметить принятие субъектами Российской Федерации подзаконных актов по вопросам регламентации отношений, которые должны регулироваться законом.  </w:t>
      </w:r>
    </w:p>
    <w:p w:rsidR="00DD76CD" w:rsidRDefault="00F93F75">
      <w:pPr>
        <w:spacing w:line="360" w:lineRule="auto"/>
        <w:ind w:firstLine="708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Например, </w:t>
      </w:r>
      <w:r>
        <w:rPr>
          <w:bCs/>
          <w:sz w:val="28"/>
          <w:szCs w:val="28"/>
        </w:rPr>
        <w:t>проект Закона Ульяновской области «О содержании домашних животных в Ульяновской области» устанавливает, что он регулирует отношения в сфере содержания домашних животных на территории Ульяновской области, устанавливает правила их содержания и ответственность за нарушение установленных Законом правил</w:t>
      </w:r>
      <w:r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заключении по результатам независимой антикоррупционной экспертизы отмечается, что п. 1 ст. 1 данного Закона устанавливает, что он регулирует отношения в сфере содержания домашних животных на территории Ульяновской области, устанавливает правила их содержания и ответственность за нарушение установленных Законом правил</w:t>
      </w:r>
      <w:r>
        <w:rPr>
          <w:sz w:val="28"/>
          <w:szCs w:val="28"/>
        </w:rPr>
        <w:t>.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Согласно статье 137 Гражданского кодекса Российской Федерации  к животным применяются общие правила об имуществе постольку, поскольку законом или иными правовыми актами не установлено иное. Законодательство, регламентирующее содержание домашних животных и рекомендующее принять соответствующие законы на уровне субъектов Российской Федерации,</w:t>
      </w:r>
      <w:r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в настоящее время отсутствует. Следовательно, принятие субъектом Российской Федерации указанного Закона является заполнением законодательных пробелов при помощи подзаконных актов в отсутствие законодательной делегации соответствующих полномочий.</w:t>
      </w:r>
    </w:p>
    <w:p w:rsidR="00DD76CD" w:rsidRDefault="00F93F75">
      <w:pPr>
        <w:spacing w:line="360" w:lineRule="auto"/>
        <w:ind w:firstLine="708"/>
        <w:jc w:val="both"/>
      </w:pPr>
      <w:r>
        <w:rPr>
          <w:b/>
          <w:sz w:val="26"/>
          <w:szCs w:val="26"/>
        </w:rPr>
        <w:t>7.    Отсутствие или неполнота административных процедур</w:t>
      </w:r>
      <w:r>
        <w:rPr>
          <w:b/>
          <w:sz w:val="28"/>
          <w:szCs w:val="28"/>
        </w:rPr>
        <w:t xml:space="preserve"> –</w:t>
      </w:r>
      <w:r>
        <w:rPr>
          <w:sz w:val="28"/>
          <w:szCs w:val="28"/>
        </w:rPr>
        <w:t xml:space="preserve"> отсутствие порядка совершения органами местного самоуправления (их должностными лицами) определенных действий либо одного из элементов такого порядка.</w:t>
      </w:r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Коррупциогенность</w:t>
      </w:r>
      <w:proofErr w:type="spellEnd"/>
      <w:r>
        <w:rPr>
          <w:sz w:val="28"/>
          <w:szCs w:val="28"/>
        </w:rPr>
        <w:t xml:space="preserve"> повышается в случае, если отсутствует четкий  порядок совершения отдельных действий и административных процедур. </w:t>
      </w:r>
      <w:r>
        <w:rPr>
          <w:sz w:val="28"/>
          <w:szCs w:val="28"/>
        </w:rPr>
        <w:lastRenderedPageBreak/>
        <w:t xml:space="preserve">Административные процедуры должны содержать сроки и последовательность совершение административных действий, в рамках которых принимаются решения, получается и используется информация, рассматриваются обращения граждан и организаций, проводится контроль, получаются разрешения и т.д. </w:t>
      </w:r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примера можно привести юридическую конструкцию, когда в положении об органе финансового мониторинга отсутствуют указания его функции или данные функции могут быть закреплены в других подзаконных нормативных правовых актах, что создает трудности для их восприятия в качестве единого целого.  </w:t>
      </w:r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6"/>
          <w:szCs w:val="26"/>
        </w:rPr>
        <w:t>8.  Отказ от конкурсных (аукционных) процедур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 xml:space="preserve">закрепление административного порядка предоставления права (блага). </w:t>
      </w:r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Конкурсные (аукционные процедуры) призваны обеспечить максимальную открытость принятия решения, возможность выбора наиболее оптимального, выгодного и качественного предложения из наибольшего количества предложений. </w:t>
      </w:r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>На практике встречаются случаи предоставления преимущества одному претенденту или группе претендентов без проведения конкурсных процедур в случаях, если другие претенденты, подавшие заявки на участие в конкурсе, не отвечают установленным требованиям и критериям.</w:t>
      </w:r>
      <w:r>
        <w:rPr>
          <w:sz w:val="28"/>
          <w:szCs w:val="28"/>
        </w:rPr>
        <w:t xml:space="preserve"> </w:t>
      </w:r>
    </w:p>
    <w:p w:rsidR="00DD76CD" w:rsidRDefault="00F93F75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Пример:</w:t>
      </w:r>
    </w:p>
    <w:p w:rsidR="00DD76CD" w:rsidRDefault="00F93F75">
      <w:pPr>
        <w:spacing w:line="360" w:lineRule="auto"/>
        <w:ind w:firstLine="53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Согласно Порядку проведения аукционов с целью реализации на внутреннем рынке из государственного фонда драгоценных металлов и драгоценных камней Российской Федерации необработанных природных алмазов специальных размеров массой 10,8 карата и более, утвержденный приказом Минфина России от 5 июня 2001 г. № 42-н (п.7) к участию в аукционе не допускаются организации:</w:t>
      </w:r>
    </w:p>
    <w:p w:rsidR="00DD76CD" w:rsidRDefault="00F93F75">
      <w:pPr>
        <w:spacing w:line="360" w:lineRule="auto"/>
        <w:ind w:firstLine="53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а) находящиеся в состоянии реорганизации, ликвидации или банкротства;</w:t>
      </w:r>
    </w:p>
    <w:p w:rsidR="00DD76CD" w:rsidRDefault="00F93F75">
      <w:pPr>
        <w:spacing w:line="360" w:lineRule="auto"/>
        <w:ind w:firstLine="53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б) сообщившие о себе недостоверные сведения;</w:t>
      </w:r>
    </w:p>
    <w:p w:rsidR="00DD76CD" w:rsidRDefault="00F93F75">
      <w:pPr>
        <w:spacing w:line="360" w:lineRule="auto"/>
        <w:ind w:firstLine="53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lastRenderedPageBreak/>
        <w:t>в) не имеющие лицензий на осуществление деятельности по обработке драгоценных камней.</w:t>
      </w:r>
    </w:p>
    <w:p w:rsidR="00DD76CD" w:rsidRDefault="00F93F75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Однако в постановлении Правительства РФ от 26 марта 2001 г. № 233 «Об утверждении правил реализации на внутреннем рынке алмазов специальных размеров массой 10,8 карата и более», говорится о том, что к участию в аукционе допускаются российские организации. Таким образом, законодательство о регулирование торгов,  допускает коллизии. Кроме того, установление ограничений в аукционе не должно осуществляться на подзаконном уровне.</w:t>
      </w:r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6"/>
          <w:szCs w:val="26"/>
        </w:rPr>
        <w:t>9. Наличие завышенных требований к лицу, предъявляемых для реализации принадлежащего ему права</w:t>
      </w:r>
      <w:r>
        <w:rPr>
          <w:b/>
          <w:sz w:val="28"/>
          <w:szCs w:val="28"/>
        </w:rPr>
        <w:t xml:space="preserve"> – </w:t>
      </w:r>
      <w:r>
        <w:rPr>
          <w:sz w:val="28"/>
          <w:szCs w:val="28"/>
        </w:rPr>
        <w:t>установление неопределенных, трудновыполнимых и обременительных требований к гражданам и организациям.</w:t>
      </w:r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выявления данного </w:t>
      </w:r>
      <w:proofErr w:type="spellStart"/>
      <w:r>
        <w:rPr>
          <w:sz w:val="28"/>
          <w:szCs w:val="28"/>
        </w:rPr>
        <w:t>коррупциогенного</w:t>
      </w:r>
      <w:proofErr w:type="spellEnd"/>
      <w:r>
        <w:rPr>
          <w:sz w:val="28"/>
          <w:szCs w:val="28"/>
        </w:rPr>
        <w:t xml:space="preserve"> фактора необходимо определить все случаи, когда нормативный правовой акт, проект нормативного правового акта </w:t>
      </w:r>
      <w:proofErr w:type="gramStart"/>
      <w:r>
        <w:rPr>
          <w:sz w:val="28"/>
          <w:szCs w:val="28"/>
        </w:rPr>
        <w:t>устанавливает условия</w:t>
      </w:r>
      <w:proofErr w:type="gramEnd"/>
      <w:r>
        <w:rPr>
          <w:sz w:val="28"/>
          <w:szCs w:val="28"/>
        </w:rPr>
        <w:t xml:space="preserve"> (требования), необходимые для реализации субъектом своего права либо исполнения обязанности. Затем необходимо оценить настолько эти условия (требования) обременительны, превышают ли они доступный для субъекта права уровень. В случае если указанные требования превышают допустимый уровень – риск возникновения коррупционных отношений возрастает. </w:t>
      </w:r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Так, рассматриваемый </w:t>
      </w:r>
      <w:proofErr w:type="spellStart"/>
      <w:r>
        <w:rPr>
          <w:sz w:val="28"/>
          <w:szCs w:val="28"/>
        </w:rPr>
        <w:t>коррупциогенный</w:t>
      </w:r>
      <w:proofErr w:type="spellEnd"/>
      <w:r>
        <w:rPr>
          <w:sz w:val="28"/>
          <w:szCs w:val="28"/>
        </w:rPr>
        <w:t xml:space="preserve"> фактор содержат такие нормы права, которые требуют от субъекта правоотношений слишком больших материальных и временных затрат при прохождении разрешительных, регистрационных и иных процедур. Наиболее часто данный </w:t>
      </w:r>
      <w:proofErr w:type="spellStart"/>
      <w:r>
        <w:rPr>
          <w:sz w:val="28"/>
          <w:szCs w:val="28"/>
        </w:rPr>
        <w:t>коррупциогенный</w:t>
      </w:r>
      <w:proofErr w:type="spellEnd"/>
      <w:r>
        <w:rPr>
          <w:sz w:val="28"/>
          <w:szCs w:val="28"/>
        </w:rPr>
        <w:t xml:space="preserve"> фактор проявляется при регламентации разрешительных и регистрационных полномочий. Указанный фактор диагностируется при анализе требований к заявителю при изучении перечня документов, представление которых необходимо для реализации права, совершения (отказа в совершении) действий уполномоченной стороной.</w:t>
      </w:r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Не редки также случаи, когда рассматриваемый </w:t>
      </w:r>
      <w:proofErr w:type="spellStart"/>
      <w:r>
        <w:rPr>
          <w:sz w:val="28"/>
          <w:szCs w:val="28"/>
        </w:rPr>
        <w:t>коррупциогенный</w:t>
      </w:r>
      <w:proofErr w:type="spellEnd"/>
      <w:r>
        <w:rPr>
          <w:sz w:val="28"/>
          <w:szCs w:val="28"/>
        </w:rPr>
        <w:t xml:space="preserve"> фактор встречается при установлении юридической ответственности, когда наказание несопоставимо с реальной степенью опасности правонарушения. В этих случаях возникает соблазн уйти от ответственности «уплатив» меньшую сумму в виде ненадлежащей выгоды другой стороне коррупционной сделки. </w:t>
      </w:r>
    </w:p>
    <w:p w:rsidR="00DD76CD" w:rsidRDefault="00F93F75">
      <w:pPr>
        <w:spacing w:line="360" w:lineRule="auto"/>
        <w:ind w:firstLine="708"/>
        <w:jc w:val="both"/>
      </w:pPr>
      <w:r>
        <w:rPr>
          <w:b/>
          <w:sz w:val="26"/>
          <w:szCs w:val="26"/>
        </w:rPr>
        <w:t>10. Злоупотребление правом заявителя органами местного самоуправления (их должностными лицами)</w:t>
      </w:r>
      <w:r>
        <w:rPr>
          <w:sz w:val="26"/>
          <w:szCs w:val="26"/>
        </w:rPr>
        <w:t xml:space="preserve"> </w:t>
      </w:r>
      <w:r>
        <w:rPr>
          <w:sz w:val="28"/>
          <w:szCs w:val="28"/>
        </w:rPr>
        <w:t>– отсутствие четкой регламентации прав граждан и организаций.</w:t>
      </w:r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ряде случаев предоставление заявителю права свободного выбора способа или сроков совершения действий, в условиях отсутствия их четкой регламентации, могут прикрывать на деле возможность дискреционного поведения  должностных лиц,  которые в этих условиях имеют возможность действовать по своему усмотрению. Для выявления отмеченного </w:t>
      </w:r>
      <w:proofErr w:type="spellStart"/>
      <w:r>
        <w:rPr>
          <w:sz w:val="28"/>
          <w:szCs w:val="28"/>
        </w:rPr>
        <w:t>коррупциогенного</w:t>
      </w:r>
      <w:proofErr w:type="spellEnd"/>
      <w:r>
        <w:rPr>
          <w:sz w:val="28"/>
          <w:szCs w:val="28"/>
        </w:rPr>
        <w:t xml:space="preserve"> фактора необходимо оценить возможные действия должностных лиц  в привязке к предоставляемой заявителю возможности права свободного выбора способа или сроков совершения действий.</w:t>
      </w:r>
    </w:p>
    <w:p w:rsidR="00DD76CD" w:rsidRDefault="00F93F75">
      <w:pPr>
        <w:spacing w:line="360" w:lineRule="auto"/>
        <w:ind w:firstLine="539"/>
        <w:jc w:val="both"/>
      </w:pPr>
      <w:r>
        <w:rPr>
          <w:i/>
          <w:sz w:val="28"/>
          <w:szCs w:val="28"/>
        </w:rPr>
        <w:t>Пример: Проект административного регламента предоставления государственной  услуги:</w:t>
      </w:r>
    </w:p>
    <w:p w:rsidR="00DD76CD" w:rsidRDefault="00F93F75">
      <w:pPr>
        <w:spacing w:line="360" w:lineRule="auto"/>
        <w:ind w:firstLine="53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«При желании заявителя он может устранить препятствия позднее (после подачи документов на лицензирование розничной продажи алкогольной продукции) путем предоставления дополнительных или исправленных документов</w:t>
      </w:r>
      <w:proofErr w:type="gramStart"/>
      <w:r>
        <w:rPr>
          <w:i/>
          <w:sz w:val="28"/>
          <w:szCs w:val="28"/>
        </w:rPr>
        <w:t>..».</w:t>
      </w:r>
      <w:proofErr w:type="gramEnd"/>
    </w:p>
    <w:p w:rsidR="00DD76CD" w:rsidRDefault="00F93F75">
      <w:pPr>
        <w:spacing w:line="360" w:lineRule="auto"/>
        <w:ind w:firstLine="708"/>
        <w:jc w:val="both"/>
      </w:pPr>
      <w:r>
        <w:rPr>
          <w:b/>
          <w:sz w:val="26"/>
          <w:szCs w:val="26"/>
        </w:rPr>
        <w:t>11.  Юридико-лингвистическая неопределенность –</w:t>
      </w:r>
      <w:r>
        <w:rPr>
          <w:b/>
          <w:sz w:val="28"/>
          <w:szCs w:val="28"/>
        </w:rPr>
        <w:t xml:space="preserve"> д</w:t>
      </w:r>
      <w:r>
        <w:rPr>
          <w:sz w:val="28"/>
          <w:szCs w:val="28"/>
        </w:rPr>
        <w:t xml:space="preserve">анный </w:t>
      </w:r>
      <w:proofErr w:type="spellStart"/>
      <w:r>
        <w:rPr>
          <w:sz w:val="28"/>
          <w:szCs w:val="28"/>
        </w:rPr>
        <w:t>коррупциогенный</w:t>
      </w:r>
      <w:proofErr w:type="spellEnd"/>
      <w:r>
        <w:rPr>
          <w:sz w:val="28"/>
          <w:szCs w:val="28"/>
        </w:rPr>
        <w:t xml:space="preserve"> фактор является одним из наиболее </w:t>
      </w:r>
      <w:proofErr w:type="gramStart"/>
      <w:r>
        <w:rPr>
          <w:sz w:val="28"/>
          <w:szCs w:val="28"/>
        </w:rPr>
        <w:t>распространенных</w:t>
      </w:r>
      <w:proofErr w:type="gramEnd"/>
      <w:r>
        <w:rPr>
          <w:sz w:val="28"/>
          <w:szCs w:val="28"/>
        </w:rPr>
        <w:t xml:space="preserve"> и имеет следующие проявления:</w:t>
      </w:r>
    </w:p>
    <w:p w:rsidR="00DD76CD" w:rsidRDefault="00F93F75">
      <w:pPr>
        <w:spacing w:line="360" w:lineRule="auto"/>
        <w:jc w:val="both"/>
      </w:pPr>
      <w:r>
        <w:rPr>
          <w:b/>
          <w:sz w:val="28"/>
          <w:szCs w:val="28"/>
        </w:rPr>
        <w:tab/>
      </w:r>
      <w:r>
        <w:rPr>
          <w:sz w:val="28"/>
          <w:szCs w:val="28"/>
        </w:rPr>
        <w:t xml:space="preserve">А) Употребление неустоявшихся терминов. </w:t>
      </w:r>
    </w:p>
    <w:p w:rsidR="00DD76CD" w:rsidRDefault="00F93F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Неустоявшимися являются термины, содержание которых является неочевидным для неопределенного круга лиц, которому адресован нормативный правовой акт, и не используемых в действующем законодательстве. </w:t>
      </w:r>
    </w:p>
    <w:p w:rsidR="00DD76CD" w:rsidRDefault="00F93F75">
      <w:pPr>
        <w:spacing w:line="360" w:lineRule="auto"/>
        <w:jc w:val="both"/>
      </w:pPr>
      <w:r>
        <w:rPr>
          <w:b/>
          <w:sz w:val="28"/>
          <w:szCs w:val="28"/>
        </w:rPr>
        <w:lastRenderedPageBreak/>
        <w:tab/>
      </w:r>
      <w:r>
        <w:rPr>
          <w:sz w:val="28"/>
          <w:szCs w:val="28"/>
        </w:rPr>
        <w:t>Б) Употребление двусмысленных терминов.</w:t>
      </w:r>
      <w:r>
        <w:rPr>
          <w:b/>
          <w:sz w:val="28"/>
          <w:szCs w:val="28"/>
        </w:rPr>
        <w:t xml:space="preserve"> </w:t>
      </w:r>
    </w:p>
    <w:p w:rsidR="00DD76CD" w:rsidRDefault="00F93F7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Такие термины имеют двоякий смысл, который может быть определен в зависимости от конкретной ситуации. Например, термин «понуждение».</w:t>
      </w:r>
    </w:p>
    <w:p w:rsidR="00DD76CD" w:rsidRDefault="00F93F75">
      <w:pPr>
        <w:spacing w:line="360" w:lineRule="auto"/>
        <w:ind w:firstLine="708"/>
        <w:jc w:val="both"/>
      </w:pPr>
      <w:r>
        <w:rPr>
          <w:sz w:val="28"/>
          <w:szCs w:val="28"/>
        </w:rPr>
        <w:t>В) Использование категорий оценочного характера.</w:t>
      </w:r>
      <w:r>
        <w:rPr>
          <w:b/>
          <w:sz w:val="28"/>
          <w:szCs w:val="28"/>
        </w:rPr>
        <w:t xml:space="preserve"> </w:t>
      </w:r>
    </w:p>
    <w:p w:rsidR="00DD76CD" w:rsidRDefault="00F93F75">
      <w:pPr>
        <w:spacing w:line="360" w:lineRule="auto"/>
        <w:jc w:val="both"/>
      </w:pPr>
      <w:r>
        <w:rPr>
          <w:sz w:val="28"/>
          <w:szCs w:val="28"/>
        </w:rPr>
        <w:t xml:space="preserve">В качестве примеров можно привести следующие категории: </w:t>
      </w:r>
      <w:r>
        <w:rPr>
          <w:i/>
          <w:iCs/>
          <w:sz w:val="28"/>
          <w:szCs w:val="28"/>
        </w:rPr>
        <w:t xml:space="preserve">«обоснованные и доступные меры»; «с учетом особенностей»;  «запутанный или необычный характер»; «повышенное внимание»; «достаточные основания» и т.д. </w:t>
      </w:r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 недочеты способны приводить к коррупционным проявлениям, поскольку расширяют дискреционные полномочия органов власти (их должностных лиц). Особенную опасность представляют неопределенные положения, налагающие юридические обязанности и  ответственность. </w:t>
      </w:r>
    </w:p>
    <w:p w:rsidR="00DD76CD" w:rsidRDefault="00F93F75">
      <w:pPr>
        <w:spacing w:line="360" w:lineRule="auto"/>
        <w:ind w:firstLine="708"/>
        <w:jc w:val="both"/>
      </w:pPr>
      <w:r>
        <w:rPr>
          <w:sz w:val="28"/>
          <w:szCs w:val="28"/>
        </w:rPr>
        <w:t xml:space="preserve">В качестве примера можно привести положение Уголовного кодекса, в  котором предусматривается возможность освобождения от уголовной ответственности лица, совершившего финансирование террористической деятельности.  </w:t>
      </w:r>
      <w:proofErr w:type="gramStart"/>
      <w:r>
        <w:rPr>
          <w:sz w:val="28"/>
          <w:szCs w:val="28"/>
        </w:rPr>
        <w:t xml:space="preserve">При этом используется такое условие: «если это лицо своевременно заявило о содеянном и (или) иным образом способствовало предотвращению акта терроризма и выявлению этого преступления». </w:t>
      </w:r>
      <w:proofErr w:type="gramEnd"/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отмеченном положении содержится </w:t>
      </w:r>
      <w:proofErr w:type="spellStart"/>
      <w:r>
        <w:rPr>
          <w:sz w:val="28"/>
          <w:szCs w:val="28"/>
        </w:rPr>
        <w:t>коррупциогенный</w:t>
      </w:r>
      <w:proofErr w:type="spellEnd"/>
      <w:r>
        <w:rPr>
          <w:sz w:val="28"/>
          <w:szCs w:val="28"/>
        </w:rPr>
        <w:t xml:space="preserve"> фактор – </w:t>
      </w:r>
      <w:r>
        <w:rPr>
          <w:b/>
          <w:sz w:val="26"/>
          <w:szCs w:val="26"/>
        </w:rPr>
        <w:t>юридико-лингвистическая неопределенность,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предусмотренный подпунктом «в» пункта 4 Методики, обусловленный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употреблением категорий оценочного характера (</w:t>
      </w:r>
      <w:r>
        <w:rPr>
          <w:i/>
          <w:sz w:val="28"/>
          <w:szCs w:val="28"/>
        </w:rPr>
        <w:t xml:space="preserve">«своевременно», «иным образом способствовало»). </w:t>
      </w:r>
      <w:r>
        <w:rPr>
          <w:sz w:val="28"/>
          <w:szCs w:val="28"/>
        </w:rPr>
        <w:t>При этом признаки своевременности не приводятся. Тем самым определение своевременности либо несвоевременности заявления целиком отводится на усмотрение суда.</w:t>
      </w:r>
    </w:p>
    <w:p w:rsidR="00DD76CD" w:rsidRDefault="00F93F75">
      <w:pPr>
        <w:spacing w:line="360" w:lineRule="auto"/>
        <w:ind w:firstLine="708"/>
        <w:jc w:val="both"/>
        <w:rPr>
          <w:iCs/>
          <w:sz w:val="28"/>
          <w:szCs w:val="28"/>
        </w:rPr>
      </w:pPr>
      <w:r>
        <w:rPr>
          <w:sz w:val="28"/>
          <w:szCs w:val="28"/>
        </w:rPr>
        <w:t xml:space="preserve">В качестве еще одного примера можно привести следующее положение: </w:t>
      </w:r>
      <w:r>
        <w:rPr>
          <w:bCs/>
          <w:i/>
          <w:iCs/>
          <w:sz w:val="28"/>
          <w:szCs w:val="28"/>
        </w:rPr>
        <w:t>сотрудник полиции, обращаясь с требованием к гражданину или осуществляя действия, ограничивающие права и свободы гражданина, обязан предъявить служебное удостоверение, кроме случаев, когда такое предъявление невозможно либо неуместно</w:t>
      </w:r>
      <w:r>
        <w:rPr>
          <w:i/>
          <w:iCs/>
          <w:sz w:val="28"/>
          <w:szCs w:val="28"/>
        </w:rPr>
        <w:t xml:space="preserve">. </w:t>
      </w:r>
      <w:r>
        <w:rPr>
          <w:iCs/>
          <w:sz w:val="28"/>
          <w:szCs w:val="28"/>
        </w:rPr>
        <w:t>Использование формулы</w:t>
      </w:r>
      <w:r>
        <w:rPr>
          <w:bCs/>
          <w:i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 xml:space="preserve">«кроме </w:t>
      </w:r>
      <w:r>
        <w:rPr>
          <w:bCs/>
          <w:iCs/>
          <w:sz w:val="28"/>
          <w:szCs w:val="28"/>
        </w:rPr>
        <w:lastRenderedPageBreak/>
        <w:t>случаев, когда такое предъявление невозможно либо неуместно»</w:t>
      </w:r>
      <w:r>
        <w:rPr>
          <w:iCs/>
          <w:sz w:val="28"/>
          <w:szCs w:val="28"/>
        </w:rPr>
        <w:t xml:space="preserve"> позволяет не предъявлять служебное удостоверение под надуманным предлогом.</w:t>
      </w:r>
    </w:p>
    <w:p w:rsidR="00DD76CD" w:rsidRPr="003269DD" w:rsidRDefault="00DD76CD">
      <w:pPr>
        <w:spacing w:line="360" w:lineRule="auto"/>
        <w:ind w:firstLine="708"/>
        <w:jc w:val="both"/>
        <w:rPr>
          <w:b/>
        </w:rPr>
      </w:pPr>
    </w:p>
    <w:p w:rsidR="00DD76CD" w:rsidRDefault="00F93F7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Составление заключения по результатам антикоррупционной экспертизы нормативных правовых актов и проектов нормативных правовых актов.</w:t>
      </w:r>
    </w:p>
    <w:p w:rsidR="00DD76CD" w:rsidRDefault="00F93F75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Заключение по результатам экспертизы проекта нормативного правового акта на </w:t>
      </w:r>
      <w:proofErr w:type="spellStart"/>
      <w:r>
        <w:rPr>
          <w:sz w:val="28"/>
          <w:szCs w:val="28"/>
        </w:rPr>
        <w:t>коррупциогенность</w:t>
      </w:r>
      <w:proofErr w:type="spellEnd"/>
      <w:r>
        <w:rPr>
          <w:sz w:val="28"/>
          <w:szCs w:val="28"/>
        </w:rPr>
        <w:t xml:space="preserve"> является результирующей частью процедуры проведения антикоррупционной экспертизы.</w:t>
      </w:r>
      <w:r>
        <w:rPr>
          <w:color w:val="000000"/>
          <w:sz w:val="28"/>
          <w:szCs w:val="28"/>
        </w:rPr>
        <w:t xml:space="preserve"> В заключении по результатам проведения антикоррупционной экспертизы в обязательном порядке отражаются</w:t>
      </w:r>
      <w:r>
        <w:rPr>
          <w:sz w:val="28"/>
          <w:szCs w:val="28"/>
        </w:rPr>
        <w:t>:</w:t>
      </w:r>
    </w:p>
    <w:p w:rsidR="00DD76CD" w:rsidRDefault="00F93F75">
      <w:pPr>
        <w:spacing w:line="360" w:lineRule="auto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– наименование и вид нормативного правового акта (рабочее наименование проекта нормативного правового акта);</w:t>
      </w:r>
    </w:p>
    <w:p w:rsidR="00DD76CD" w:rsidRDefault="00F93F75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– вывод по результатам оценки нормативных правовых актов на </w:t>
      </w:r>
      <w:proofErr w:type="spellStart"/>
      <w:r>
        <w:rPr>
          <w:sz w:val="28"/>
          <w:szCs w:val="28"/>
        </w:rPr>
        <w:t>коррупциогенность</w:t>
      </w:r>
      <w:proofErr w:type="spellEnd"/>
      <w:r>
        <w:rPr>
          <w:sz w:val="28"/>
          <w:szCs w:val="28"/>
        </w:rPr>
        <w:t xml:space="preserve"> (</w:t>
      </w:r>
      <w:proofErr w:type="gramStart"/>
      <w:r>
        <w:rPr>
          <w:sz w:val="28"/>
          <w:szCs w:val="28"/>
        </w:rPr>
        <w:t>выявлены</w:t>
      </w:r>
      <w:proofErr w:type="gramEnd"/>
      <w:r>
        <w:rPr>
          <w:sz w:val="28"/>
          <w:szCs w:val="28"/>
        </w:rPr>
        <w:t xml:space="preserve"> /не выявлены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факторы);</w:t>
      </w:r>
    </w:p>
    <w:p w:rsidR="00DD76CD" w:rsidRDefault="00F93F75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– перечень норм, в которых обнаружены </w:t>
      </w:r>
      <w:proofErr w:type="spellStart"/>
      <w:r>
        <w:rPr>
          <w:sz w:val="28"/>
          <w:szCs w:val="28"/>
        </w:rPr>
        <w:t>коррупциогенные</w:t>
      </w:r>
      <w:proofErr w:type="spellEnd"/>
      <w:r>
        <w:rPr>
          <w:sz w:val="28"/>
          <w:szCs w:val="28"/>
        </w:rPr>
        <w:t xml:space="preserve"> факторы;</w:t>
      </w:r>
    </w:p>
    <w:p w:rsidR="00DD76CD" w:rsidRDefault="00F93F75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– описание обнаруженных в нормах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 со ссылкой на положения Методики, утвержденной Постановлением Правительства Российской Федерации от 26 февраля 2010 г. № 96;</w:t>
      </w:r>
    </w:p>
    <w:p w:rsidR="00DD76CD" w:rsidRDefault="00F93F75">
      <w:pPr>
        <w:spacing w:line="360" w:lineRule="auto"/>
        <w:ind w:firstLine="53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– рекомендации по устранению выявленных </w:t>
      </w:r>
      <w:proofErr w:type="spellStart"/>
      <w:r>
        <w:rPr>
          <w:sz w:val="28"/>
          <w:szCs w:val="28"/>
        </w:rPr>
        <w:t>коррупциогенных</w:t>
      </w:r>
      <w:proofErr w:type="spellEnd"/>
      <w:r>
        <w:rPr>
          <w:sz w:val="28"/>
          <w:szCs w:val="28"/>
        </w:rPr>
        <w:t xml:space="preserve"> факторов и устранению (коррекции) норм, их содержащих.</w:t>
      </w:r>
    </w:p>
    <w:p w:rsidR="00DD76CD" w:rsidRDefault="00F93F75">
      <w:pPr>
        <w:spacing w:after="57" w:line="360" w:lineRule="auto"/>
        <w:ind w:firstLine="540"/>
        <w:jc w:val="both"/>
      </w:pPr>
      <w:r>
        <w:rPr>
          <w:sz w:val="28"/>
          <w:szCs w:val="28"/>
        </w:rPr>
        <w:t>– дата и подпись эксперта.</w:t>
      </w:r>
    </w:p>
    <w:p w:rsidR="00DD76CD" w:rsidRPr="003269DD" w:rsidRDefault="00F93F75">
      <w:pPr>
        <w:spacing w:line="360" w:lineRule="auto"/>
        <w:ind w:firstLine="540"/>
        <w:jc w:val="both"/>
        <w:rPr>
          <w:b/>
          <w:bCs/>
        </w:rPr>
      </w:pPr>
      <w:r>
        <w:rPr>
          <w:b/>
          <w:bCs/>
          <w:sz w:val="28"/>
          <w:szCs w:val="28"/>
          <w:lang w:val="en-US"/>
        </w:rPr>
        <w:t>IV</w:t>
      </w:r>
      <w:r w:rsidRPr="003269DD">
        <w:rPr>
          <w:b/>
          <w:bCs/>
          <w:sz w:val="28"/>
          <w:szCs w:val="28"/>
        </w:rPr>
        <w:t xml:space="preserve">. </w:t>
      </w:r>
      <w:r w:rsidR="003269DD">
        <w:rPr>
          <w:b/>
          <w:bCs/>
          <w:sz w:val="28"/>
          <w:szCs w:val="28"/>
        </w:rPr>
        <w:t>Определение</w:t>
      </w:r>
      <w:r>
        <w:rPr>
          <w:b/>
          <w:bCs/>
          <w:sz w:val="28"/>
          <w:szCs w:val="28"/>
        </w:rPr>
        <w:t xml:space="preserve"> перечня функций органов местного самоуправления, муниципальных учреждений и организаций, при реализации которых наиболее вероятно возникновение коррупции.</w:t>
      </w:r>
    </w:p>
    <w:p w:rsidR="00DD76CD" w:rsidRDefault="00F93F75">
      <w:pPr>
        <w:spacing w:line="360" w:lineRule="auto"/>
        <w:ind w:firstLine="540"/>
        <w:jc w:val="both"/>
      </w:pPr>
      <w:proofErr w:type="gramStart"/>
      <w:r>
        <w:rPr>
          <w:sz w:val="28"/>
          <w:szCs w:val="28"/>
        </w:rPr>
        <w:t xml:space="preserve">К </w:t>
      </w:r>
      <w:proofErr w:type="spellStart"/>
      <w:r>
        <w:rPr>
          <w:sz w:val="28"/>
          <w:szCs w:val="28"/>
        </w:rPr>
        <w:t>коррупционно</w:t>
      </w:r>
      <w:proofErr w:type="spellEnd"/>
      <w:r>
        <w:rPr>
          <w:sz w:val="28"/>
          <w:szCs w:val="28"/>
        </w:rPr>
        <w:t>-опасным функциям может быть отнесено управление муниципальным имуществом, оказание государственных и муниципальных услуг, сфера строительства и ремонта, муниципальные закупки</w:t>
      </w:r>
      <w:r w:rsidR="003269DD">
        <w:rPr>
          <w:sz w:val="28"/>
          <w:szCs w:val="28"/>
        </w:rPr>
        <w:t xml:space="preserve">, подготовка и принятие решений о распределении бюджетных ассигнований, принятие решений о возврате или зачете излишне уплаченных налогов и сборов, пеней </w:t>
      </w:r>
      <w:r w:rsidR="003269DD">
        <w:rPr>
          <w:sz w:val="28"/>
          <w:szCs w:val="28"/>
        </w:rPr>
        <w:lastRenderedPageBreak/>
        <w:t xml:space="preserve">и штрафов, </w:t>
      </w:r>
      <w:r w:rsidR="00316BF5">
        <w:rPr>
          <w:sz w:val="28"/>
          <w:szCs w:val="28"/>
        </w:rPr>
        <w:t>принятие решений об отсрочке платежей, хранение и распределение материально-технических ресурсов</w:t>
      </w:r>
      <w:r>
        <w:rPr>
          <w:sz w:val="28"/>
          <w:szCs w:val="28"/>
        </w:rPr>
        <w:t>.</w:t>
      </w:r>
      <w:proofErr w:type="gramEnd"/>
    </w:p>
    <w:p w:rsidR="00DD76CD" w:rsidRDefault="00F93F75">
      <w:pPr>
        <w:spacing w:line="360" w:lineRule="auto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 функциями по управлению </w:t>
      </w:r>
      <w:bookmarkStart w:id="1" w:name="__DdeLink__337_241726461"/>
      <w:r>
        <w:rPr>
          <w:sz w:val="28"/>
          <w:szCs w:val="28"/>
        </w:rPr>
        <w:t>муниципальным имуществом</w:t>
      </w:r>
      <w:bookmarkEnd w:id="1"/>
      <w:r>
        <w:rPr>
          <w:sz w:val="28"/>
          <w:szCs w:val="28"/>
        </w:rPr>
        <w:t xml:space="preserve"> понимается осуществление полномочий собственника </w:t>
      </w:r>
      <w:proofErr w:type="gramStart"/>
      <w:r>
        <w:rPr>
          <w:sz w:val="28"/>
          <w:szCs w:val="28"/>
        </w:rPr>
        <w:t>в отношение</w:t>
      </w:r>
      <w:proofErr w:type="gramEnd"/>
      <w:r>
        <w:rPr>
          <w:sz w:val="28"/>
          <w:szCs w:val="28"/>
        </w:rPr>
        <w:t xml:space="preserve"> муниципального имущества, находящегося в муниципальной казне, а также переданного в оперативное управление и хозяйственное ведение, а также управление находящимися в муниципальной собственности акциями открытых акционерных обществ, а также осуществление муниципальными учреждениями и предприятиями полномочий пользователя  муниципальным имуществом.</w:t>
      </w:r>
      <w:r w:rsidR="003269DD">
        <w:rPr>
          <w:sz w:val="28"/>
          <w:szCs w:val="28"/>
        </w:rPr>
        <w:t xml:space="preserve"> Организация продажи муниципального имущества, предоставление права на заключение договоров аренды, заключение инвестиционных контрактов на строительство объектов недвижимости на территории города.</w:t>
      </w:r>
    </w:p>
    <w:p w:rsidR="003269DD" w:rsidRDefault="003269DD">
      <w:pPr>
        <w:spacing w:line="360" w:lineRule="auto"/>
        <w:ind w:firstLine="540"/>
        <w:jc w:val="both"/>
      </w:pPr>
      <w:proofErr w:type="gramStart"/>
      <w:r>
        <w:rPr>
          <w:sz w:val="28"/>
          <w:szCs w:val="28"/>
        </w:rPr>
        <w:t>Под функциями по оказанию государственных и муниципальных услуг понимается предоставление органами местного самоуправления или подведомственными им муниципальными учреждениями и организациями безвозмездно или по регулируемым органами местного самоуправления ценам, по запросам заявителей в пределах установленных действующим законодательством полномочий.</w:t>
      </w:r>
      <w:proofErr w:type="gramEnd"/>
    </w:p>
    <w:p w:rsidR="00DD76CD" w:rsidRDefault="00316BF5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  <w:r w:rsidRPr="00316BF5">
        <w:rPr>
          <w:b/>
          <w:sz w:val="28"/>
          <w:szCs w:val="28"/>
          <w:lang w:val="en-US"/>
        </w:rPr>
        <w:t>V</w:t>
      </w:r>
      <w:r w:rsidRPr="00316BF5">
        <w:rPr>
          <w:b/>
          <w:sz w:val="28"/>
          <w:szCs w:val="28"/>
        </w:rPr>
        <w:t>.</w:t>
      </w:r>
      <w:r w:rsidRPr="00316BF5">
        <w:rPr>
          <w:b/>
          <w:bCs/>
          <w:sz w:val="28"/>
          <w:szCs w:val="28"/>
        </w:rPr>
        <w:t xml:space="preserve"> Мониторинг исполнения должностных </w:t>
      </w:r>
      <w:proofErr w:type="gramStart"/>
      <w:r w:rsidRPr="00316BF5">
        <w:rPr>
          <w:b/>
          <w:bCs/>
          <w:sz w:val="28"/>
          <w:szCs w:val="28"/>
        </w:rPr>
        <w:t>обязанностей  работниками</w:t>
      </w:r>
      <w:proofErr w:type="gramEnd"/>
      <w:r w:rsidRPr="00316BF5">
        <w:rPr>
          <w:b/>
          <w:bCs/>
          <w:sz w:val="28"/>
          <w:szCs w:val="28"/>
        </w:rPr>
        <w:t xml:space="preserve"> органов местного самоуправления города Фрязино, муниципальных учреждений и организаций, деятельность которых связана с коррупционными рисками</w:t>
      </w:r>
      <w:r>
        <w:rPr>
          <w:b/>
          <w:bCs/>
          <w:sz w:val="28"/>
          <w:szCs w:val="28"/>
        </w:rPr>
        <w:t>.</w:t>
      </w:r>
    </w:p>
    <w:p w:rsidR="00316BF5" w:rsidRDefault="00316BF5">
      <w:pPr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Основными задачами м</w:t>
      </w:r>
      <w:r w:rsidRPr="00316BF5">
        <w:rPr>
          <w:bCs/>
          <w:sz w:val="28"/>
          <w:szCs w:val="28"/>
        </w:rPr>
        <w:t>ониторинг</w:t>
      </w:r>
      <w:r>
        <w:rPr>
          <w:bCs/>
          <w:sz w:val="28"/>
          <w:szCs w:val="28"/>
        </w:rPr>
        <w:t>а</w:t>
      </w:r>
      <w:r w:rsidRPr="00316BF5">
        <w:rPr>
          <w:bCs/>
          <w:sz w:val="28"/>
          <w:szCs w:val="28"/>
        </w:rPr>
        <w:t xml:space="preserve"> исполнения должностных обязанностей  работниками органов местного самоуправления города Фрязино, муниципальных учреждений и организаций, деятельность которых связана с коррупционными рисками</w:t>
      </w:r>
      <w:r>
        <w:rPr>
          <w:bCs/>
          <w:sz w:val="28"/>
          <w:szCs w:val="28"/>
        </w:rPr>
        <w:t xml:space="preserve"> (далее – мониторинг) являются:</w:t>
      </w:r>
    </w:p>
    <w:p w:rsidR="00316BF5" w:rsidRDefault="00316BF5">
      <w:pPr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своевременная фиксация отклонений в действиях должностных лиц от установленных норм, правил служебного поведения;</w:t>
      </w:r>
    </w:p>
    <w:p w:rsidR="00316BF5" w:rsidRDefault="00316BF5">
      <w:pPr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>выявление и анализ факторов, способствующих ненадлежащему исполнению либо превышению должностных полномочий;</w:t>
      </w:r>
    </w:p>
    <w:p w:rsidR="00316BF5" w:rsidRDefault="00316BF5">
      <w:pPr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подготовка предложений по минимизации коррупционных рисков либо их устранению в деятельности должностных лиц;</w:t>
      </w:r>
    </w:p>
    <w:p w:rsidR="00316BF5" w:rsidRDefault="00316BF5">
      <w:pPr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корректировка перечня </w:t>
      </w:r>
      <w:proofErr w:type="spellStart"/>
      <w:r>
        <w:rPr>
          <w:bCs/>
          <w:sz w:val="28"/>
          <w:szCs w:val="28"/>
        </w:rPr>
        <w:t>коррупционно</w:t>
      </w:r>
      <w:proofErr w:type="spellEnd"/>
      <w:r>
        <w:rPr>
          <w:bCs/>
          <w:sz w:val="28"/>
          <w:szCs w:val="28"/>
        </w:rPr>
        <w:t xml:space="preserve">-опасных функций и должностей </w:t>
      </w:r>
      <w:r w:rsidRPr="00316BF5">
        <w:rPr>
          <w:bCs/>
          <w:sz w:val="28"/>
          <w:szCs w:val="28"/>
        </w:rPr>
        <w:t>органов местного самоуправления города Фрязино, муниципальных учреждений и организаций, деятельность которых связана с коррупционными рисками</w:t>
      </w:r>
      <w:r>
        <w:rPr>
          <w:bCs/>
          <w:sz w:val="28"/>
          <w:szCs w:val="28"/>
        </w:rPr>
        <w:t>.</w:t>
      </w:r>
    </w:p>
    <w:p w:rsidR="00316BF5" w:rsidRDefault="00316BF5">
      <w:pPr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Проведение мониторинга осуществляется путем сбора информации о признаках и фактах коррупционной деятельности должностных лиц.</w:t>
      </w:r>
    </w:p>
    <w:p w:rsidR="00BF168F" w:rsidRDefault="00BF168F">
      <w:pPr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Результатами проведения мониторинга являются:</w:t>
      </w:r>
    </w:p>
    <w:p w:rsidR="00BF168F" w:rsidRDefault="00BF168F">
      <w:pPr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подготовка материалов о несоблюдении должностными лицами при исполнении должностных обязанностей требований к служебному поведению и (или) требований об урегулировании конфликта интересов;</w:t>
      </w:r>
    </w:p>
    <w:p w:rsidR="00BF168F" w:rsidRDefault="00BF168F">
      <w:pPr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подготовка предложений по минимизации коррупционных рисков либо их устранению в деятельности должностных лиц;</w:t>
      </w:r>
    </w:p>
    <w:p w:rsidR="00BF168F" w:rsidRDefault="00BF168F">
      <w:pPr>
        <w:spacing w:line="360" w:lineRule="auto"/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привлечение должностных лиц к различным видам ответственности, установленным законодательством в рамках полномочий контрольно-счетного органа. Направление материалов мониторинга (или проверки) в правоохранительные органы с целью возбуждения уголовных или административных дел.  </w:t>
      </w:r>
    </w:p>
    <w:p w:rsidR="00BF168F" w:rsidRDefault="00BF168F">
      <w:pPr>
        <w:spacing w:line="360" w:lineRule="auto"/>
        <w:ind w:firstLine="540"/>
        <w:jc w:val="both"/>
        <w:rPr>
          <w:bCs/>
          <w:sz w:val="28"/>
          <w:szCs w:val="28"/>
        </w:rPr>
      </w:pPr>
    </w:p>
    <w:p w:rsidR="00316BF5" w:rsidRDefault="00BF168F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  <w:r w:rsidRPr="00BF168F">
        <w:rPr>
          <w:b/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 xml:space="preserve"> </w:t>
      </w:r>
      <w:r w:rsidRPr="00BF168F">
        <w:rPr>
          <w:b/>
          <w:bCs/>
          <w:sz w:val="28"/>
          <w:szCs w:val="28"/>
        </w:rPr>
        <w:t>Нормативные правовые акты</w:t>
      </w:r>
    </w:p>
    <w:p w:rsidR="00BF168F" w:rsidRPr="00257303" w:rsidRDefault="00257303" w:rsidP="00257303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2410FA" w:rsidRPr="00257303">
        <w:rPr>
          <w:bCs/>
          <w:sz w:val="28"/>
          <w:szCs w:val="28"/>
        </w:rPr>
        <w:t>Федеральный закон от 02.03.2007 № 25-ФЗ «О муниципальной службе в Российской Федерации»</w:t>
      </w:r>
      <w:r w:rsidR="00A47156">
        <w:rPr>
          <w:bCs/>
          <w:sz w:val="28"/>
          <w:szCs w:val="28"/>
        </w:rPr>
        <w:t>.</w:t>
      </w:r>
    </w:p>
    <w:p w:rsidR="00316BF5" w:rsidRDefault="00257303" w:rsidP="00257303">
      <w:pPr>
        <w:spacing w:line="360" w:lineRule="auto"/>
        <w:jc w:val="both"/>
        <w:rPr>
          <w:bCs/>
          <w:sz w:val="28"/>
          <w:szCs w:val="28"/>
        </w:rPr>
      </w:pPr>
      <w:r w:rsidRPr="00257303">
        <w:rPr>
          <w:bCs/>
          <w:sz w:val="28"/>
          <w:szCs w:val="28"/>
        </w:rPr>
        <w:t>2. Федеральный закон</w:t>
      </w:r>
      <w:r>
        <w:rPr>
          <w:bCs/>
          <w:sz w:val="28"/>
          <w:szCs w:val="28"/>
        </w:rPr>
        <w:t xml:space="preserve"> от 25.12.2008 № 278-ФЗ «О противодействии коррупции»</w:t>
      </w:r>
      <w:r w:rsidR="00A47156">
        <w:rPr>
          <w:bCs/>
          <w:sz w:val="28"/>
          <w:szCs w:val="28"/>
        </w:rPr>
        <w:t>.</w:t>
      </w:r>
    </w:p>
    <w:p w:rsidR="00007775" w:rsidRPr="00007775" w:rsidRDefault="00257303" w:rsidP="00007775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7775">
        <w:rPr>
          <w:rFonts w:ascii="Times New Roman" w:hAnsi="Times New Roman" w:cs="Times New Roman"/>
          <w:bCs/>
          <w:sz w:val="28"/>
          <w:szCs w:val="28"/>
        </w:rPr>
        <w:t xml:space="preserve">3. </w:t>
      </w:r>
      <w:r w:rsidR="00007775" w:rsidRPr="00007775">
        <w:rPr>
          <w:rFonts w:ascii="Times New Roman" w:hAnsi="Times New Roman" w:cs="Times New Roman"/>
          <w:sz w:val="28"/>
          <w:szCs w:val="28"/>
        </w:rPr>
        <w:t xml:space="preserve">Постановление </w:t>
      </w:r>
      <w:r w:rsidR="00007775">
        <w:rPr>
          <w:rFonts w:ascii="Times New Roman" w:hAnsi="Times New Roman" w:cs="Times New Roman"/>
          <w:sz w:val="28"/>
          <w:szCs w:val="28"/>
        </w:rPr>
        <w:t>Правительства РФ от 26.02.2010 №</w:t>
      </w:r>
      <w:r w:rsidR="00007775" w:rsidRPr="00007775">
        <w:rPr>
          <w:rFonts w:ascii="Times New Roman" w:hAnsi="Times New Roman" w:cs="Times New Roman"/>
          <w:sz w:val="28"/>
          <w:szCs w:val="28"/>
        </w:rPr>
        <w:t xml:space="preserve"> 96</w:t>
      </w:r>
      <w:r w:rsidR="00007775">
        <w:rPr>
          <w:rFonts w:ascii="Times New Roman" w:hAnsi="Times New Roman" w:cs="Times New Roman"/>
          <w:sz w:val="28"/>
          <w:szCs w:val="28"/>
        </w:rPr>
        <w:t xml:space="preserve"> «</w:t>
      </w:r>
      <w:r w:rsidR="00007775" w:rsidRPr="00007775">
        <w:rPr>
          <w:rFonts w:ascii="Times New Roman" w:hAnsi="Times New Roman" w:cs="Times New Roman"/>
          <w:sz w:val="28"/>
          <w:szCs w:val="28"/>
        </w:rPr>
        <w:t>Об антикоррупционной экспертизе нормативных правовых актов и прое</w:t>
      </w:r>
      <w:r w:rsidR="00007775">
        <w:rPr>
          <w:rFonts w:ascii="Times New Roman" w:hAnsi="Times New Roman" w:cs="Times New Roman"/>
          <w:sz w:val="28"/>
          <w:szCs w:val="28"/>
        </w:rPr>
        <w:t>ктов нормативных правовых актов».</w:t>
      </w:r>
    </w:p>
    <w:p w:rsidR="00257303" w:rsidRDefault="00007775" w:rsidP="00257303">
      <w:pPr>
        <w:spacing w:line="360" w:lineRule="auto"/>
        <w:jc w:val="both"/>
        <w:rPr>
          <w:bCs/>
          <w:sz w:val="28"/>
          <w:szCs w:val="28"/>
        </w:rPr>
      </w:pPr>
      <w:r w:rsidRPr="00007775">
        <w:rPr>
          <w:bCs/>
          <w:sz w:val="28"/>
          <w:szCs w:val="28"/>
        </w:rPr>
        <w:lastRenderedPageBreak/>
        <w:t>4</w:t>
      </w:r>
      <w:r>
        <w:rPr>
          <w:bCs/>
          <w:sz w:val="28"/>
          <w:szCs w:val="28"/>
        </w:rPr>
        <w:t xml:space="preserve">. </w:t>
      </w:r>
      <w:r w:rsidR="00257303">
        <w:rPr>
          <w:bCs/>
          <w:sz w:val="28"/>
          <w:szCs w:val="28"/>
        </w:rPr>
        <w:t>Постановление Правительства РФ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 средств, вырученных от его реализации»</w:t>
      </w:r>
      <w:r w:rsidR="00A47156">
        <w:rPr>
          <w:bCs/>
          <w:sz w:val="28"/>
          <w:szCs w:val="28"/>
        </w:rPr>
        <w:t>.</w:t>
      </w:r>
    </w:p>
    <w:p w:rsidR="00257303" w:rsidRDefault="004E10E5" w:rsidP="00257303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5</w:t>
      </w:r>
      <w:r w:rsidR="00257303">
        <w:rPr>
          <w:bCs/>
          <w:sz w:val="28"/>
          <w:szCs w:val="28"/>
        </w:rPr>
        <w:t xml:space="preserve">. Постановление Правительства РФ от 21.01.2015 № 29 «Об утверждении Правил сообщения работодателем о заключении трудового или гражданско-правового договора на выполнение работ (оказание услуг) с гражданином, замещавшим должности государственной или </w:t>
      </w:r>
      <w:r w:rsidR="00A47156">
        <w:rPr>
          <w:bCs/>
          <w:sz w:val="28"/>
          <w:szCs w:val="28"/>
        </w:rPr>
        <w:t>муниципальной службы, перечень которых устанавливается нормативными правовыми актами Российской Федерации».</w:t>
      </w:r>
    </w:p>
    <w:p w:rsidR="00A47156" w:rsidRDefault="004E10E5" w:rsidP="00257303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A47156">
        <w:rPr>
          <w:bCs/>
          <w:sz w:val="28"/>
          <w:szCs w:val="28"/>
        </w:rPr>
        <w:t>. Методические рекомендации Минтруда России от 13.02.2015 № 18-0/10/П-762 по вопросам представления сведений о доходах, расходах, об имуществе и обязательствах имущественного характера и заполнения соответствующей формы справки.</w:t>
      </w:r>
    </w:p>
    <w:p w:rsidR="00A47156" w:rsidRDefault="004E10E5" w:rsidP="00257303">
      <w:pPr>
        <w:spacing w:line="36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bookmarkStart w:id="2" w:name="_GoBack"/>
      <w:bookmarkEnd w:id="2"/>
      <w:r w:rsidR="00A47156">
        <w:rPr>
          <w:bCs/>
          <w:sz w:val="28"/>
          <w:szCs w:val="28"/>
        </w:rPr>
        <w:t>. Письмо Минтруда России от 20.02.2015 № 18-0/10/П-906 по проведению оценки коррупционных рисков, возникающих при реализации функций.</w:t>
      </w:r>
    </w:p>
    <w:p w:rsidR="00A47156" w:rsidRDefault="00A47156" w:rsidP="00257303">
      <w:pPr>
        <w:spacing w:line="360" w:lineRule="auto"/>
        <w:jc w:val="both"/>
        <w:rPr>
          <w:bCs/>
          <w:sz w:val="28"/>
          <w:szCs w:val="28"/>
        </w:rPr>
      </w:pPr>
    </w:p>
    <w:p w:rsidR="00A47156" w:rsidRPr="00257303" w:rsidRDefault="00A47156" w:rsidP="00257303">
      <w:pPr>
        <w:spacing w:line="360" w:lineRule="auto"/>
        <w:jc w:val="both"/>
        <w:rPr>
          <w:bCs/>
          <w:sz w:val="28"/>
          <w:szCs w:val="28"/>
        </w:rPr>
      </w:pPr>
    </w:p>
    <w:p w:rsidR="00316BF5" w:rsidRDefault="00316BF5">
      <w:pPr>
        <w:spacing w:line="360" w:lineRule="auto"/>
        <w:ind w:firstLine="540"/>
        <w:jc w:val="both"/>
        <w:rPr>
          <w:b/>
          <w:bCs/>
          <w:sz w:val="28"/>
          <w:szCs w:val="28"/>
        </w:rPr>
      </w:pPr>
    </w:p>
    <w:p w:rsidR="00DD76CD" w:rsidRDefault="00F93F75">
      <w:pPr>
        <w:spacing w:line="360" w:lineRule="auto"/>
        <w:jc w:val="both"/>
      </w:pPr>
      <w:r>
        <w:rPr>
          <w:sz w:val="28"/>
          <w:szCs w:val="28"/>
        </w:rPr>
        <w:t>Председатель Контрольно-счетной палаты                             Л.А. Панченко</w:t>
      </w:r>
    </w:p>
    <w:p w:rsidR="00DD76CD" w:rsidRDefault="00DD76CD"/>
    <w:p w:rsidR="00DD76CD" w:rsidRDefault="00DD76CD">
      <w:pPr>
        <w:spacing w:line="360" w:lineRule="auto"/>
        <w:ind w:firstLine="709"/>
        <w:jc w:val="both"/>
        <w:rPr>
          <w:sz w:val="28"/>
          <w:szCs w:val="28"/>
        </w:rPr>
      </w:pPr>
    </w:p>
    <w:p w:rsidR="00DD76CD" w:rsidRDefault="00DD76CD"/>
    <w:p w:rsidR="00DD76CD" w:rsidRDefault="00DD76CD"/>
    <w:sectPr w:rsidR="00DD76CD">
      <w:footerReference w:type="default" r:id="rId10"/>
      <w:pgSz w:w="11906" w:h="16838"/>
      <w:pgMar w:top="1134" w:right="850" w:bottom="1134" w:left="1701" w:header="0" w:footer="708" w:gutter="0"/>
      <w:cols w:space="720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B39" w:rsidRDefault="00130B39">
      <w:r>
        <w:separator/>
      </w:r>
    </w:p>
  </w:endnote>
  <w:endnote w:type="continuationSeparator" w:id="0">
    <w:p w:rsidR="00130B39" w:rsidRDefault="00130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;serif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6CD" w:rsidRDefault="00F93F75">
    <w:pPr>
      <w:pStyle w:val="af1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7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54305" cy="174625"/>
              <wp:effectExtent l="0" t="0" r="0" b="0"/>
              <wp:wrapSquare wrapText="largest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20" cy="1738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DD76CD" w:rsidRDefault="00F93F75">
                          <w:pPr>
                            <w:pStyle w:val="af1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4E10E5">
                            <w:rPr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-39.05pt;margin-top:.05pt;width:12.15pt;height:13.75pt;z-index:-50331646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" filled="f" stroked="f">
              <v:textbox style="mso-fit-shape-to-text:t" inset="0,0,0,0">
                <w:txbxContent>
                  <w:p w:rsidR="00DD76CD" w:rsidRDefault="00F93F75">
                    <w:pPr>
                      <w:pStyle w:val="af1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4E10E5">
                      <w:rPr>
                        <w:noProof/>
                      </w:rPr>
                      <w:t>19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B39" w:rsidRDefault="00130B39">
      <w:r>
        <w:separator/>
      </w:r>
    </w:p>
  </w:footnote>
  <w:footnote w:type="continuationSeparator" w:id="0">
    <w:p w:rsidR="00130B39" w:rsidRDefault="00130B39">
      <w:r>
        <w:continuationSeparator/>
      </w:r>
    </w:p>
  </w:footnote>
  <w:footnote w:id="1">
    <w:p w:rsidR="00DD76CD" w:rsidRDefault="00F93F75">
      <w:pPr>
        <w:jc w:val="both"/>
        <w:outlineLvl w:val="1"/>
        <w:rPr>
          <w:sz w:val="20"/>
          <w:szCs w:val="20"/>
        </w:rPr>
      </w:pPr>
      <w:r>
        <w:footnoteRef/>
      </w:r>
      <w:r>
        <w:tab/>
      </w:r>
    </w:p>
    <w:p w:rsidR="00DD76CD" w:rsidRDefault="00DD76CD">
      <w:pPr>
        <w:pStyle w:val="af0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296050"/>
    <w:multiLevelType w:val="hybridMultilevel"/>
    <w:tmpl w:val="F80EE648"/>
    <w:lvl w:ilvl="0" w:tplc="462C72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303641CF"/>
    <w:multiLevelType w:val="hybridMultilevel"/>
    <w:tmpl w:val="8B6C50EE"/>
    <w:lvl w:ilvl="0" w:tplc="CC989B0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6CD"/>
    <w:rsid w:val="00007775"/>
    <w:rsid w:val="00130B39"/>
    <w:rsid w:val="002410FA"/>
    <w:rsid w:val="00257303"/>
    <w:rsid w:val="00316BF5"/>
    <w:rsid w:val="003269DD"/>
    <w:rsid w:val="004E10E5"/>
    <w:rsid w:val="006C64FA"/>
    <w:rsid w:val="00A47156"/>
    <w:rsid w:val="00BF168F"/>
    <w:rsid w:val="00DD76CD"/>
    <w:rsid w:val="00F9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37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сноски Знак"/>
    <w:basedOn w:val="a1"/>
    <w:semiHidden/>
    <w:qFormat/>
    <w:rsid w:val="00A534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1"/>
    <w:semiHidden/>
    <w:qFormat/>
    <w:rsid w:val="00A53437"/>
    <w:rPr>
      <w:vertAlign w:val="superscript"/>
    </w:rPr>
  </w:style>
  <w:style w:type="character" w:customStyle="1" w:styleId="a6">
    <w:name w:val="Нижний колонтитул Знак"/>
    <w:basedOn w:val="a1"/>
    <w:qFormat/>
    <w:rsid w:val="00A534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qFormat/>
    <w:rsid w:val="00A53437"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ab">
    <w:name w:val="Символы концевой сноски"/>
    <w:qFormat/>
  </w:style>
  <w:style w:type="paragraph" w:customStyle="1" w:styleId="a0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footnote text"/>
    <w:basedOn w:val="a"/>
    <w:semiHidden/>
    <w:qFormat/>
    <w:rsid w:val="00A53437"/>
    <w:rPr>
      <w:sz w:val="20"/>
      <w:szCs w:val="20"/>
    </w:rPr>
  </w:style>
  <w:style w:type="paragraph" w:styleId="af1">
    <w:name w:val="footer"/>
    <w:basedOn w:val="a"/>
    <w:rsid w:val="00A53437"/>
    <w:pPr>
      <w:tabs>
        <w:tab w:val="center" w:pos="4677"/>
        <w:tab w:val="right" w:pos="9355"/>
      </w:tabs>
    </w:pPr>
  </w:style>
  <w:style w:type="paragraph" w:customStyle="1" w:styleId="af2">
    <w:name w:val="Сноска"/>
    <w:basedOn w:val="a"/>
  </w:style>
  <w:style w:type="paragraph" w:customStyle="1" w:styleId="af3">
    <w:name w:val="Содержимое врезки"/>
    <w:basedOn w:val="a"/>
    <w:qFormat/>
  </w:style>
  <w:style w:type="paragraph" w:customStyle="1" w:styleId="af4">
    <w:name w:val="Блочная цитата"/>
    <w:basedOn w:val="a"/>
    <w:qFormat/>
  </w:style>
  <w:style w:type="paragraph" w:customStyle="1" w:styleId="af5">
    <w:name w:val="Заглавие"/>
    <w:basedOn w:val="a0"/>
  </w:style>
  <w:style w:type="paragraph" w:styleId="af6">
    <w:name w:val="Subtitle"/>
    <w:basedOn w:val="a0"/>
  </w:style>
  <w:style w:type="paragraph" w:styleId="af7">
    <w:name w:val="List Paragraph"/>
    <w:basedOn w:val="a"/>
    <w:uiPriority w:val="34"/>
    <w:qFormat/>
    <w:rsid w:val="002410FA"/>
    <w:pPr>
      <w:ind w:left="720"/>
      <w:contextualSpacing/>
    </w:pPr>
  </w:style>
  <w:style w:type="paragraph" w:customStyle="1" w:styleId="ConsPlusNormal">
    <w:name w:val="ConsPlusNormal"/>
    <w:rsid w:val="00007775"/>
    <w:pPr>
      <w:autoSpaceDE w:val="0"/>
      <w:autoSpaceDN w:val="0"/>
      <w:adjustRightInd w:val="0"/>
      <w:spacing w:line="240" w:lineRule="auto"/>
    </w:pPr>
    <w:rPr>
      <w:rFonts w:ascii="Arial" w:hAnsi="Arial" w:cs="Arial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3437"/>
    <w:pPr>
      <w:spacing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paragraph" w:styleId="1">
    <w:name w:val="heading 1"/>
    <w:basedOn w:val="a0"/>
    <w:pPr>
      <w:outlineLvl w:val="0"/>
    </w:pPr>
  </w:style>
  <w:style w:type="paragraph" w:styleId="2">
    <w:name w:val="heading 2"/>
    <w:basedOn w:val="a0"/>
    <w:pPr>
      <w:outlineLvl w:val="1"/>
    </w:pPr>
  </w:style>
  <w:style w:type="paragraph" w:styleId="3">
    <w:name w:val="heading 3"/>
    <w:basedOn w:val="a0"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сноски Знак"/>
    <w:basedOn w:val="a1"/>
    <w:semiHidden/>
    <w:qFormat/>
    <w:rsid w:val="00A5343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1"/>
    <w:semiHidden/>
    <w:qFormat/>
    <w:rsid w:val="00A53437"/>
    <w:rPr>
      <w:vertAlign w:val="superscript"/>
    </w:rPr>
  </w:style>
  <w:style w:type="character" w:customStyle="1" w:styleId="a6">
    <w:name w:val="Нижний колонтитул Знак"/>
    <w:basedOn w:val="a1"/>
    <w:qFormat/>
    <w:rsid w:val="00A5343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1"/>
    <w:qFormat/>
    <w:rsid w:val="00A53437"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8">
    <w:name w:val="Символ сноски"/>
    <w:qFormat/>
  </w:style>
  <w:style w:type="character" w:customStyle="1" w:styleId="a9">
    <w:name w:val="Привязка сноски"/>
    <w:rPr>
      <w:vertAlign w:val="superscript"/>
    </w:rPr>
  </w:style>
  <w:style w:type="character" w:customStyle="1" w:styleId="aa">
    <w:name w:val="Привязка концевой сноски"/>
    <w:rPr>
      <w:vertAlign w:val="superscript"/>
    </w:rPr>
  </w:style>
  <w:style w:type="character" w:customStyle="1" w:styleId="ab">
    <w:name w:val="Символы концевой сноски"/>
    <w:qFormat/>
  </w:style>
  <w:style w:type="paragraph" w:customStyle="1" w:styleId="a0">
    <w:name w:val="Заголовок"/>
    <w:basedOn w:val="a"/>
    <w:next w:val="ac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c">
    <w:name w:val="Body Text"/>
    <w:basedOn w:val="a"/>
    <w:pPr>
      <w:spacing w:after="140" w:line="288" w:lineRule="auto"/>
    </w:pPr>
  </w:style>
  <w:style w:type="paragraph" w:styleId="ad">
    <w:name w:val="List"/>
    <w:basedOn w:val="ac"/>
    <w:rPr>
      <w:rFonts w:cs="Mangal"/>
    </w:rPr>
  </w:style>
  <w:style w:type="paragraph" w:styleId="ae">
    <w:name w:val="Title"/>
    <w:basedOn w:val="a"/>
    <w:pPr>
      <w:suppressLineNumbers/>
      <w:spacing w:before="120" w:after="120"/>
    </w:pPr>
    <w:rPr>
      <w:rFonts w:cs="Mangal"/>
      <w:i/>
      <w:iCs/>
    </w:rPr>
  </w:style>
  <w:style w:type="paragraph" w:styleId="af">
    <w:name w:val="index heading"/>
    <w:basedOn w:val="a"/>
    <w:qFormat/>
    <w:pPr>
      <w:suppressLineNumbers/>
    </w:pPr>
    <w:rPr>
      <w:rFonts w:cs="Mangal"/>
    </w:rPr>
  </w:style>
  <w:style w:type="paragraph" w:styleId="af0">
    <w:name w:val="footnote text"/>
    <w:basedOn w:val="a"/>
    <w:semiHidden/>
    <w:qFormat/>
    <w:rsid w:val="00A53437"/>
    <w:rPr>
      <w:sz w:val="20"/>
      <w:szCs w:val="20"/>
    </w:rPr>
  </w:style>
  <w:style w:type="paragraph" w:styleId="af1">
    <w:name w:val="footer"/>
    <w:basedOn w:val="a"/>
    <w:rsid w:val="00A53437"/>
    <w:pPr>
      <w:tabs>
        <w:tab w:val="center" w:pos="4677"/>
        <w:tab w:val="right" w:pos="9355"/>
      </w:tabs>
    </w:pPr>
  </w:style>
  <w:style w:type="paragraph" w:customStyle="1" w:styleId="af2">
    <w:name w:val="Сноска"/>
    <w:basedOn w:val="a"/>
  </w:style>
  <w:style w:type="paragraph" w:customStyle="1" w:styleId="af3">
    <w:name w:val="Содержимое врезки"/>
    <w:basedOn w:val="a"/>
    <w:qFormat/>
  </w:style>
  <w:style w:type="paragraph" w:customStyle="1" w:styleId="af4">
    <w:name w:val="Блочная цитата"/>
    <w:basedOn w:val="a"/>
    <w:qFormat/>
  </w:style>
  <w:style w:type="paragraph" w:customStyle="1" w:styleId="af5">
    <w:name w:val="Заглавие"/>
    <w:basedOn w:val="a0"/>
  </w:style>
  <w:style w:type="paragraph" w:styleId="af6">
    <w:name w:val="Subtitle"/>
    <w:basedOn w:val="a0"/>
  </w:style>
  <w:style w:type="paragraph" w:styleId="af7">
    <w:name w:val="List Paragraph"/>
    <w:basedOn w:val="a"/>
    <w:uiPriority w:val="34"/>
    <w:qFormat/>
    <w:rsid w:val="002410FA"/>
    <w:pPr>
      <w:ind w:left="720"/>
      <w:contextualSpacing/>
    </w:pPr>
  </w:style>
  <w:style w:type="paragraph" w:customStyle="1" w:styleId="ConsPlusNormal">
    <w:name w:val="ConsPlusNormal"/>
    <w:rsid w:val="00007775"/>
    <w:pPr>
      <w:autoSpaceDE w:val="0"/>
      <w:autoSpaceDN w:val="0"/>
      <w:adjustRightInd w:val="0"/>
      <w:spacing w:line="240" w:lineRule="auto"/>
    </w:pPr>
    <w:rPr>
      <w:rFonts w:ascii="Arial" w:hAnsi="Arial" w:cs="Ari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0E7B2BED16D0EC8BA527B15DA3C845E40B127F42C75DEB34C35DEF4F713AE7496C94C15264DEAzEP1N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1DE9F30463C1B0240DA8221E3B8AFCCAE155E32E6F078F1E09731C4tAa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19</Pages>
  <Words>4701</Words>
  <Characters>26800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Панченко</dc:creator>
  <cp:lastModifiedBy>Панченко</cp:lastModifiedBy>
  <cp:revision>13</cp:revision>
  <dcterms:created xsi:type="dcterms:W3CDTF">2016-04-28T08:26:00Z</dcterms:created>
  <dcterms:modified xsi:type="dcterms:W3CDTF">2016-05-17T06:30:00Z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