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lineRule="auto" w:line="240" w:before="0" w:after="0"/>
        <w:jc w:val="center"/>
        <w:rPr/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;serif" w:hAnsi="Times New Roman;serif"/>
          <w:sz w:val="28"/>
          <w:szCs w:val="28"/>
        </w:rPr>
        <w:t>УТВЕРЖДЕНЫ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ascii="Times New Roman;serif" w:hAnsi="Times New Roman;serif"/>
          <w:sz w:val="28"/>
        </w:rPr>
        <w:t xml:space="preserve">                                                                              </w:t>
      </w:r>
      <w:r>
        <w:rPr>
          <w:rFonts w:ascii="Times New Roman;serif" w:hAnsi="Times New Roman;serif"/>
          <w:sz w:val="28"/>
        </w:rPr>
        <w:t>распоряжением председателя</w:t>
      </w:r>
    </w:p>
    <w:p>
      <w:pPr>
        <w:pStyle w:val="Style19"/>
        <w:spacing w:lineRule="auto" w:line="240" w:before="0" w:after="0"/>
        <w:jc w:val="center"/>
        <w:rPr/>
      </w:pPr>
      <w:r>
        <w:rPr>
          <w:rFonts w:ascii="Times New Roman;serif" w:hAnsi="Times New Roman;serif"/>
          <w:sz w:val="28"/>
        </w:rPr>
        <w:t xml:space="preserve">                                                                             </w:t>
      </w:r>
      <w:r>
        <w:rPr>
          <w:rFonts w:ascii="Times New Roman;serif" w:hAnsi="Times New Roman;serif"/>
          <w:sz w:val="28"/>
        </w:rPr>
        <w:t xml:space="preserve">Контрольно-счетной палаты </w:t>
      </w:r>
    </w:p>
    <w:p>
      <w:pPr>
        <w:pStyle w:val="Style19"/>
        <w:spacing w:lineRule="auto" w:line="240" w:before="0" w:after="0"/>
        <w:jc w:val="both"/>
        <w:rPr/>
      </w:pPr>
      <w:r>
        <w:rPr/>
        <w:t xml:space="preserve">                                                                                              </w:t>
      </w:r>
      <w:r>
        <w:rPr>
          <w:rFonts w:ascii="Times New Roman;serif" w:hAnsi="Times New Roman;serif"/>
          <w:sz w:val="28"/>
        </w:rPr>
        <w:t>г. Фрязино от 26.05.2016 № 40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МЕТОДИЧЕСКИЕ РЕКОМЕНДАЦИИ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по осуществлению проверки главных администраторов бюджетных средств в части поступления </w:t>
      </w:r>
      <w:r>
        <w:rPr>
          <w:b/>
          <w:sz w:val="28"/>
          <w:szCs w:val="28"/>
          <w:lang w:val="ru-RU"/>
        </w:rPr>
        <w:t xml:space="preserve">неналоговых доходов </w:t>
      </w:r>
      <w:r>
        <w:rPr>
          <w:b/>
          <w:sz w:val="28"/>
          <w:szCs w:val="28"/>
        </w:rPr>
        <w:t>от использования муниципального имущества в бюджет города Фрязино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Фрязино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2016 год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b/>
          <w:color w:val="00000A"/>
          <w:sz w:val="28"/>
          <w:szCs w:val="28"/>
        </w:rPr>
        <w:t>Цель методических рекомендаций</w:t>
      </w:r>
      <w:r>
        <w:rPr>
          <w:color w:val="00000A"/>
          <w:sz w:val="28"/>
          <w:szCs w:val="28"/>
        </w:rPr>
        <w:t xml:space="preserve"> – </w:t>
      </w:r>
      <w:r>
        <w:rPr>
          <w:rFonts w:ascii="Times New Roman;serif" w:hAnsi="Times New Roman;serif"/>
          <w:color w:val="00000A"/>
          <w:sz w:val="28"/>
          <w:szCs w:val="28"/>
        </w:rPr>
        <w:t xml:space="preserve">обеспечение единого подхода к организации работы Контрольно-счетной палаты города Фрязино  (далее — КСП г. Фрязино) по проведению проверки </w:t>
      </w: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</w:rPr>
        <w:t xml:space="preserve">главных администраторов бюджетных средств в части поступления </w:t>
      </w: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lang w:val="ru-RU"/>
        </w:rPr>
        <w:t xml:space="preserve">неналоговых доходов </w:t>
      </w: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</w:rPr>
        <w:t>от использования муниципального имущества в бюджет города Фрязино.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color w:val="00000A"/>
          <w:sz w:val="28"/>
          <w:szCs w:val="28"/>
        </w:rPr>
        <w:t xml:space="preserve">Согласно статье 51 Федерального закона от 16.10.2003 № 131-ФЗ «Об общих принципах организации местного самоуправления в Российской Федерации» органы местного </w:t>
      </w:r>
      <w:r>
        <w:rPr>
          <w:sz w:val="28"/>
          <w:szCs w:val="28"/>
        </w:rPr>
        <w:tab/>
        <w:t xml:space="preserve">самоуправления от имени муниципального образования самостоятельно владеют, пользуются и распоряжаются муниципальным имуществом в соответствии с </w:t>
      </w:r>
      <w:r>
        <w:rPr>
          <w:color w:val="00000A"/>
          <w:sz w:val="28"/>
          <w:szCs w:val="28"/>
        </w:rPr>
        <w:t>Конституцией</w:t>
      </w:r>
      <w:r>
        <w:rPr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Осуществляя права собственника муниципального имущества  органы местного самоуправления вправе передавать муниципальное имущество во временное или постоянное пользование физическим и юридическим лицам, органам государственной власти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В соответствии со статьей 42 Бюджетного кодекса РФ к доходам  бюджетов от использования имущества, находящегося в муниципальной собственности, относятся:</w:t>
      </w:r>
    </w:p>
    <w:p>
      <w:pPr>
        <w:pStyle w:val="ConsPlus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>- доходы, получаемые в виде арендной либо иной платы за передачу в возмездное пользование муниципального имущества, за исключением имущества бюджетных и автономных учреждений, а также имущества муниципальных унитарных предприятий, в том числе казенных;</w:t>
      </w:r>
    </w:p>
    <w:p>
      <w:pPr>
        <w:pStyle w:val="ConsPlusNormal"/>
        <w:spacing w:lineRule="auto" w:line="360"/>
        <w:ind w:left="0" w:hanging="0"/>
        <w:jc w:val="both"/>
        <w:rPr/>
      </w:pPr>
      <w:r>
        <w:rPr>
          <w:rFonts w:ascii="Times New Roman" w:hAnsi="Times New Roman"/>
          <w:sz w:val="28"/>
          <w:szCs w:val="28"/>
        </w:rPr>
        <w:t>- средства, получаемые от передачи имущества, находящегося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казенных, и имущества, переданного в доверительное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юридическим лицам, созданным в организационно-правовой форме государственной компании), в залог, в доверительное управление;</w:t>
      </w:r>
    </w:p>
    <w:p>
      <w:pPr>
        <w:pStyle w:val="ConsPlusNormal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образованиям, за исключением случаев, установленных федеральными законами;</w:t>
      </w:r>
    </w:p>
    <w:p>
      <w:pPr>
        <w:pStyle w:val="ConsPlusNormal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- часть прибыли государственных и муниципальных унитарных предприятий, остающаяся после уплаты налогов и иных обязательных платежей;</w:t>
      </w:r>
    </w:p>
    <w:p>
      <w:pPr>
        <w:pStyle w:val="ConsPlusNormal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- другие предусмотренные законодательством Российской Федерации доходы от использования имущества, находящегося в муниципальной собственности, за исключением имущества бюджетных и автономных учреждений, а также имущества муниципальных унитарных предприятий, в том числе казенных.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Доходы от использования муниципального имущества относятся к неналоговым доходам муниципального бюджета, установленным статьей 62  Бюджетного кодекса РФ: «доходы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процентов».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    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>Предварительный этап проведения проверки</w:t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hyperlink r:id="rId2">
        <w:r>
          <w:rPr>
            <w:rStyle w:val="Style13"/>
            <w:color w:val="00000A"/>
            <w:sz w:val="28"/>
            <w:szCs w:val="28"/>
            <w:u w:val="none"/>
          </w:rPr>
          <w:t>Проведению проверки должно предшествовать предварительное изучение объекта контроля на основе доступной информации, включая:</w:t>
        </w:r>
      </w:hyperlink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-мониторинг действующего законодательства;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- ознакомление с материалами предыдущих проверок, а также принятыми по их результатам мерами.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Предварительный этап проведения проверки является начальной стадией контрольного мероприятия и включает в себя: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- организацию проведения проверки;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- подготовку к проведению проверки.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Организация и проведение проверки осуществляется в соответствии с планом работы  </w:t>
      </w:r>
      <w:r>
        <w:rPr>
          <w:rFonts w:ascii="Times New Roman;serif" w:hAnsi="Times New Roman;serif"/>
          <w:color w:val="00000A"/>
          <w:sz w:val="28"/>
          <w:szCs w:val="28"/>
        </w:rPr>
        <w:t>КСП г. Фрязино, на основании распоряжения председателя  КСП г. Фрязино, а также в соответствии с порядком проведения и оформления результатов проверок.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color w:val="00000A"/>
          <w:sz w:val="28"/>
          <w:szCs w:val="28"/>
        </w:rPr>
        <w:t>Подготовка к проведению проверки включает в себя: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color w:val="00000A"/>
          <w:sz w:val="28"/>
          <w:szCs w:val="28"/>
          <w:u w:val="single"/>
        </w:rPr>
        <w:t>1. Определение цели проверки</w:t>
      </w:r>
      <w:r>
        <w:rPr>
          <w:rFonts w:ascii="Times New Roman;serif" w:hAnsi="Times New Roman;serif"/>
          <w:color w:val="00000A"/>
          <w:sz w:val="28"/>
          <w:szCs w:val="28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color w:val="00000A"/>
          <w:sz w:val="28"/>
          <w:szCs w:val="28"/>
        </w:rPr>
        <w:t xml:space="preserve">Главной целью проверки главных администраторов </w:t>
      </w: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</w:rPr>
        <w:t xml:space="preserve">бюджетных средств в части поступления </w:t>
      </w: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lang w:val="ru-RU"/>
        </w:rPr>
        <w:t xml:space="preserve">неналоговых доходов </w:t>
      </w: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</w:rPr>
        <w:t>от использования муниципального имущества в бюджет города Фрязино</w:t>
      </w:r>
      <w:r>
        <w:rPr>
          <w:rFonts w:ascii="Times New Roman;serif" w:hAnsi="Times New Roman;serif"/>
          <w:color w:val="00000A"/>
          <w:sz w:val="28"/>
          <w:szCs w:val="28"/>
        </w:rPr>
        <w:t xml:space="preserve"> является оценка выполнения ими полномочий, функций прогнозирования, учета, контроля полноты и своевременности поступления доходов.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color w:val="00000A"/>
          <w:sz w:val="28"/>
          <w:szCs w:val="28"/>
          <w:u w:val="single"/>
        </w:rPr>
        <w:t>2. Определение задач проверки</w:t>
      </w:r>
      <w:r>
        <w:rPr>
          <w:rFonts w:ascii="Times New Roman;serif" w:hAnsi="Times New Roman;serif"/>
          <w:color w:val="00000A"/>
          <w:sz w:val="28"/>
          <w:szCs w:val="28"/>
        </w:rPr>
        <w:t>.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color w:val="00000A"/>
          <w:sz w:val="28"/>
          <w:szCs w:val="28"/>
        </w:rPr>
        <w:t>Выбор и формулировка задач проверки должны осуществляться таким образом, чтобы их решение в совокупности способствовало достижению поставленной цели. В то же время, каждая из задач должна носить автономный характер, позволяющий исполнителю — участнику рабочей группы, ответственному за решение той или иной задачи, работать относительно самостоятельно, независимо от других членов рабочей группы.</w:t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ascii="Times New Roman;serif" w:hAnsi="Times New Roman;serif"/>
          <w:color w:val="00000A"/>
          <w:sz w:val="28"/>
          <w:szCs w:val="28"/>
          <w:u w:val="single"/>
        </w:rPr>
        <w:t>3. Определение объекта проверки.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Объектом проверки является орган исполнительной власти, уполномоченный осуществлять администрирование неналоговых доходов местного бюджета (далее — администратор неналоговых доходов).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single"/>
        </w:rPr>
        <w:t>4. Определение предмета проверки</w:t>
      </w:r>
      <w:r>
        <w:rPr>
          <w:rFonts w:ascii="Times New Roman;serif" w:hAnsi="Times New Roman;serif"/>
          <w:color w:val="00000A"/>
          <w:sz w:val="28"/>
          <w:szCs w:val="28"/>
          <w:u w:val="none"/>
        </w:rPr>
        <w:t>.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Предметом проверки является деятельность  администраторов неналоговых доходов по законности и эффективности использования муниципального имущества в соответствии с нормативными правовыми актами Российской Федерации, Московской области и города Фрязино.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Логичным итогом предварительного этапа проверки является принятие распоряжения председателя КСП г. Фрязино и программы проверки, в которой должны быть отражены: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- вопросы проверки;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- перечень объектов проверки;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- состав рабочей группы;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>- сроки начала и окончания проверки.</w:t>
      </w:r>
    </w:p>
    <w:p>
      <w:pPr>
        <w:pStyle w:val="Normal"/>
        <w:spacing w:lineRule="auto" w:line="360"/>
        <w:jc w:val="both"/>
        <w:rPr>
          <w:rFonts w:ascii="Times New Roman;serif" w:hAnsi="Times New Roman;serif"/>
          <w:color w:val="00000A"/>
          <w:sz w:val="28"/>
          <w:szCs w:val="28"/>
        </w:rPr>
      </w:pPr>
      <w:r>
        <w:rPr>
          <w:rFonts w:ascii="Times New Roman;serif" w:hAnsi="Times New Roman;serif"/>
          <w:color w:val="00000A"/>
          <w:sz w:val="28"/>
          <w:szCs w:val="28"/>
        </w:rPr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Times New Roman;serif" w:hAnsi="Times New Roman;serif"/>
          <w:color w:val="00000A"/>
          <w:sz w:val="28"/>
          <w:szCs w:val="28"/>
          <w:u w:val="none"/>
        </w:rPr>
        <w:t xml:space="preserve">                                           </w:t>
      </w:r>
      <w:r>
        <w:rPr>
          <w:rFonts w:ascii="Times New Roman;serif" w:hAnsi="Times New Roman;serif"/>
          <w:b/>
          <w:bCs/>
          <w:color w:val="00000A"/>
          <w:sz w:val="28"/>
          <w:szCs w:val="28"/>
          <w:u w:val="none"/>
        </w:rPr>
        <w:t>Проведение проверки</w:t>
      </w:r>
    </w:p>
    <w:p>
      <w:pPr>
        <w:pStyle w:val="Normal"/>
        <w:spacing w:lineRule="auto" w:line="360"/>
        <w:jc w:val="both"/>
        <w:rPr>
          <w:rFonts w:ascii="Times New Roman;serif" w:hAnsi="Times New Roman;serif"/>
          <w:b/>
          <w:b/>
          <w:bCs/>
          <w:color w:val="00000A"/>
          <w:sz w:val="28"/>
          <w:szCs w:val="28"/>
        </w:rPr>
      </w:pPr>
      <w:r>
        <w:rPr>
          <w:rFonts w:ascii="Times New Roman;serif" w:hAnsi="Times New Roman;serif"/>
          <w:b/>
          <w:bCs/>
          <w:color w:val="00000A"/>
          <w:sz w:val="28"/>
          <w:szCs w:val="28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Проверка администраторов неналоговых доходов может осуществляться по следующим направлениям: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анализ поступлений в бюджет города по каждому отдельному виду неналоговых доходов;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 xml:space="preserve">- </w:t>
      </w:r>
      <w:bookmarkStart w:id="0" w:name="__DdeLink__1697_126552794"/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проверка достоверности информации об исполнении доходов бюджета</w:t>
      </w:r>
      <w:bookmarkEnd w:id="0"/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оценка системы внутреннего контроля;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проверка соблюдения порядка учета муниципального имущества;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проверка соблюдения порядка списания муниципального имущества;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проверка порядка работы с безхозяйным имуществом;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проверка заключенных договоров в части распоряжения муниципальным имуществом;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проверка задолженности со стороны пользователей муниципальным имуществом.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u w:val="none"/>
        </w:rPr>
      </w:pP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1) Анализ поступлений в бюджет города по каждому отдельному виду неналоговых доходов.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На основании отчетности  главных администраторов неналоговых доходов следует проанализировать и представить в виде таблицы исполнение бюджета города Фрязино по отдельным видам неналоговых доходов (утверждено, исполнено, отклонение). При этом необходимо: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установить причины невыполнения плановых назначений;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провести анализ обоснованности планирования неналоговых доходов бюджета;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провести анализ выпадающих доходов от предоставления льгот отдельным категориям пользователей муниципальным имуществом.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Источником информации для оценки неналоговых поступлений в доходную часть бюджета являются: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решения Совета депутатов города Фрязино о бюджете на соответствующий финансовый год;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сводная бюджетная роспись по доходам и расходам города Фрязино;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отчеты  главных администраторов неналоговых доходов (ф. 0503127);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сведения об исполнении бюджета (ф. 0503117);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ascii="Times New Roman;serif" w:hAnsi="Times New Roman;serif"/>
          <w:b w:val="false"/>
          <w:bCs w:val="false"/>
          <w:color w:val="00000A"/>
          <w:sz w:val="28"/>
          <w:szCs w:val="28"/>
          <w:u w:val="none"/>
        </w:rPr>
        <w:t>- иные документы.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u w:val="none"/>
        </w:rPr>
      </w:pP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2)  Проверка достоверности информации об исполнении неналоговых доходов бюджета города.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проверки достоверности информации об исполнении местного бюджета в части поступления неналоговых доходов, следует установить соответствие данных отчетов </w:t>
      </w:r>
      <w:r>
        <w:rPr>
          <w:rFonts w:ascii="Times New Roman;serif" w:hAnsi="Times New Roman;serif"/>
          <w:color w:val="00000A"/>
          <w:sz w:val="28"/>
          <w:szCs w:val="28"/>
          <w:u w:val="none"/>
        </w:rPr>
        <w:t xml:space="preserve">администраторов неналоговых доходов </w:t>
      </w:r>
      <w:r>
        <w:rPr>
          <w:sz w:val="28"/>
          <w:szCs w:val="28"/>
        </w:rPr>
        <w:t>данным бухгалтерского учета. В случае выявления фактов искажения необходимо выяснить, как они повлияли на показатели исполнения доходов.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расхождений в отчетных данных следует выяснить их причины, взять письменные объяснения у руководителей проверяемых </w:t>
      </w:r>
      <w:r>
        <w:rPr>
          <w:rFonts w:ascii="Times New Roman;serif" w:hAnsi="Times New Roman;serif"/>
          <w:color w:val="00000A"/>
          <w:sz w:val="28"/>
          <w:szCs w:val="28"/>
          <w:u w:val="none"/>
        </w:rPr>
        <w:t>администраторов неналоговых доходов и отразить эти факты в акте контрольного мероприятия.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3) Проверка состояния задолженности по неналоговым доходам.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3.1. Анализ задолженности.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Целью проведения анализа задолженности является определение динамики задолженности по конкретным видам неналоговых доходов на определенную дату.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На основе данного анализа, с учетом анализа мер, применяемых для сокращения задолженности, можно сделать выводы об эффективности </w:t>
      </w:r>
      <w:bookmarkStart w:id="1" w:name="__DdeLink__1672_2051394748"/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администратора неналоговых доходов</w:t>
      </w:r>
      <w:bookmarkEnd w:id="1"/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3.2. Анализ мер по устранению задолженности.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Необходимо проанализировать, какие меры применялись в отношении должников (выставление претензии, предъявление штрафных санкций, направление искового заявления в суд и т. д.).</w:t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Выжным моментом является анализ эффективности деятельности  администратор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ов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 неналоговых доходов по сокращению задолженности. Для этого необходимо установить: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как ведется претензионно-исковая работа в отношении должников (независимо от суммы долга или только в отношении «крупных» должников);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на сколько оперативно принимаются решения в отношении должников, признанных банкротами (расторжение договоров пользования имуществом, своевременная подача заявлений на включение в реестр кредиторов и т. д.).</w:t>
      </w:r>
    </w:p>
    <w:p>
      <w:pPr>
        <w:pStyle w:val="Normal"/>
        <w:spacing w:lineRule="auto" w: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3.3 Проверка обоснованности списания задолженности.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Осуществляется проверка деятельности 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администраторов неналоговых доходов по списанию задолженности на соответствие утвержденному порядку признания безнадежной к взысканию и списанию задолженности по платежам за пользование муниципальным имуществом.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Необходимо проверить наличие всех необходимых документов, подтверждающих обоснованность списания задолженности и соответствие их действующему порядку списания задолженности.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4) Проверка заключенных договоров пользования муниципальным имуществом.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4.1. Оценка правовой основы заключения договоров и их соответствие действующему законодательству.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В целях осуществления контроля за правильностью оформления сделок с муниципальным имуществом необходимо провести проверку заключенных договоров.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Провести проверку соблюдения порядка заключения договоров в соответствии с требованиями ст</w:t>
      </w:r>
      <w:r>
        <w:rPr>
          <w:sz w:val="28"/>
          <w:szCs w:val="28"/>
          <w:u w:val="none"/>
        </w:rPr>
        <w:t>атьи</w:t>
      </w:r>
      <w:r>
        <w:rPr>
          <w:sz w:val="28"/>
          <w:szCs w:val="28"/>
          <w:u w:val="none"/>
        </w:rPr>
        <w:t xml:space="preserve"> 17.1 Федерального закона от 26.07.2006 № 135-ФЗ «О защите конкуренции» - по результатам проведения конкурсов или аукционов (С учетом установленных исключений).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По результатам анализа заключенных договоров необходимо отразить, указаны ли в договоре, в соответствии с главой 34 Гражданского кодекса РФ, данные, позволяющие определенно установить имущество, подлежащее передаче другой  стороне договора.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При отсутствии этих данных в договоре, условия об объекте, подлежащем передаче, считаются несогласованными сторонами, а соответствующий договор не считается заключенным.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В случае заключения договоров аренды нежилых помещений данные об объекте составляются на основании технических паспортов объекта. Информация об объектах недвижимости должна содержать размеры сдаваемых в аренду помещений и характеристику помещений (подвал, цокольный этаж, в жилом доме и т. д.).</w:t>
      </w:r>
    </w:p>
    <w:p>
      <w:pPr>
        <w:pStyle w:val="Normal"/>
        <w:spacing w:lineRule="auto" w: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Проверка наличия регистрации договоров аренды.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В соответствии с пунктом 2 статьи 609 Гражданского кодекса РФ договор аренды недвижимого имущества подлежит государственной регистрации, если иное не установлено законом.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При этом:</w:t>
      </w:r>
    </w:p>
    <w:p>
      <w:pPr>
        <w:pStyle w:val="Normal"/>
        <w:spacing w:lineRule="auto" w:line="36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- пунктом 2 статьи 651 Гражданского кодекса РФ установлено, что договор аренды здания или сооружения, заключенный на срок не менее года, подлежит государственной регистрации и считается заключенным с момента такой регистрации;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  <w:u w:val="none"/>
        </w:rPr>
        <w:t>- пунктом 2 статьи 26 Земельного кодекса РФ установлено, что договоры аренды земельного участка, субаренды земельного участка, безвозмездного срочного пользования,</w:t>
      </w:r>
      <w:r>
        <w:rPr/>
        <w:t xml:space="preserve"> </w:t>
      </w:r>
      <w:r>
        <w:rPr>
          <w:sz w:val="28"/>
          <w:szCs w:val="28"/>
        </w:rPr>
        <w:t>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В соответствии со статьей 165 </w:t>
      </w:r>
      <w:r>
        <w:rPr>
          <w:sz w:val="28"/>
          <w:szCs w:val="28"/>
          <w:u w:val="none"/>
        </w:rPr>
        <w:t xml:space="preserve"> Гражданского кодекса РФ несоблюдение требований о государственной регистрации сделки влечет ее недействительность. Такая сделка считается ничтожной.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  <w:sz w:val="28"/>
          <w:szCs w:val="28"/>
          <w:u w:val="none"/>
        </w:rPr>
        <w:t>5) Проверка правильности начисления платежей.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При проведении проверки необходимо проанализировать фактическое начисление арендной платы, платы за установку рекламной конструкции, платежа части прибыли МУП, остающейся после уплаты налогов и иных обязательных платежей, платы от реализации инвестиционных контрактов на строительство объектов недвижимости с учетом применения льгот и коэффициентов муниципальной поддержки в соответствии с нормативными правовыми актами городского округа Фрязино. Данные необходимо свести в таблицы и сделать выводы о правильности или неправильности осуществленных расчетов.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  <w:u w:val="none"/>
        </w:rPr>
        <w:t xml:space="preserve">6) Проверка осуществления </w:t>
      </w: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администратор</w:t>
      </w: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ами</w:t>
      </w: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 xml:space="preserve"> неналоговых доходов </w:t>
      </w:r>
      <w:r>
        <w:rPr>
          <w:rFonts w:ascii="Times New Roman;serif" w:hAnsi="Times New Roman;serif"/>
          <w:b/>
          <w:bCs/>
          <w:i/>
          <w:iCs/>
          <w:color w:val="00000A"/>
          <w:sz w:val="28"/>
          <w:szCs w:val="28"/>
          <w:u w:val="none"/>
        </w:rPr>
        <w:t>функций учета и контроля за муниципальным имуществом.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6.1. Проверка соблюдения порядка учета муниципального имущества.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Муниципальное имущество подлежит учету в соответствии с порядком, установленным Советом депутатов города Фрязино.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При проведении проверки соблюдения порядка учета муниципального имущества следует проверить ведение реестра муниципальной собственности на соответствие утвержденному порядку.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 xml:space="preserve">6.2. Оценка системы внутреннего контроля, осуществляемого 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администраторами неналоговых доходов.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При оценке 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системы внутреннего контроля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 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 </w:t>
      </w: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проводится анализ организованного внутри объекта контроля, в том числе по следующим вопросам: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соблюдение требований законодательства и нормативных правовых актов;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проверка правильности определения размеров платежей;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точность и полнота учета неналоговых доходов 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своевременность подготовки достоверной отчетности, в том числе бухгалтерской, о результатах распоряжения и использования муниципального имущества;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предотвращение ошибок и искажений;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исполнение приказов и распоряжений администраторов неналоговых доходов;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>- обеспечение надлежащего состояния муниципального имущества, в том числе находящегося в муниципальной казне.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singl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6.3. Организация и проведение Комитетом по управлению имуществом города Фрязино, уполномоченным осуществлять от имени муниципального образования права собственника муниципального имущества, проверок целевого и эффективного использования  муниципального имущества, переданного в пользования иных лиц.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Анализируются принятые меры  по фактам нецелевого и неэффективного использования муниципального имущества. </w:t>
      </w:r>
    </w:p>
    <w:p>
      <w:pPr>
        <w:pStyle w:val="Normal"/>
        <w:spacing w:lineRule="auto" w:line="360"/>
        <w:jc w:val="both"/>
        <w:rPr>
          <w:rFonts w:ascii="Times New Roman;serif" w:hAnsi="Times New Roman;serif"/>
          <w:color w:val="00000A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                           </w:t>
      </w:r>
      <w:r>
        <w:rPr>
          <w:rFonts w:ascii="Times New Roman;serif" w:hAnsi="Times New Roman;serif"/>
          <w:b/>
          <w:bCs/>
          <w:i w:val="false"/>
          <w:iCs w:val="false"/>
          <w:color w:val="00000A"/>
          <w:sz w:val="28"/>
          <w:szCs w:val="28"/>
          <w:u w:val="none"/>
        </w:rPr>
        <w:t xml:space="preserve"> </w:t>
      </w:r>
      <w:r>
        <w:rPr>
          <w:rFonts w:ascii="Times New Roman;serif" w:hAnsi="Times New Roman;serif"/>
          <w:b/>
          <w:bCs/>
          <w:i w:val="false"/>
          <w:iCs w:val="false"/>
          <w:color w:val="00000A"/>
          <w:sz w:val="28"/>
          <w:szCs w:val="28"/>
          <w:u w:val="none"/>
        </w:rPr>
        <w:t>Мероприятия по итогам проведения проверки</w:t>
      </w:r>
    </w:p>
    <w:p>
      <w:pPr>
        <w:pStyle w:val="Normal"/>
        <w:spacing w:lineRule="auto" w:line="360"/>
        <w:jc w:val="both"/>
        <w:rPr>
          <w:rFonts w:ascii="Times New Roman;serif" w:hAnsi="Times New Roman;serif"/>
          <w:b/>
          <w:b/>
          <w:bCs/>
          <w:color w:val="00000A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spacing w:lineRule="auto" w:line="360"/>
        <w:jc w:val="both"/>
        <w:rPr/>
      </w:pPr>
      <w:r>
        <w:rPr>
          <w:rFonts w:ascii="Times New Roman;serif" w:hAnsi="Times New Roman;serif"/>
          <w:b w:val="false"/>
          <w:bCs w:val="false"/>
          <w:i w:val="false"/>
          <w:iCs w:val="false"/>
          <w:color w:val="00000A"/>
          <w:sz w:val="28"/>
          <w:szCs w:val="28"/>
          <w:u w:val="none"/>
        </w:rPr>
        <w:t xml:space="preserve">Оформление и утверждение результатов проверок осуществляется в порядке, установленном Стандартами внешнего муниципального финансового контроля: </w:t>
      </w:r>
      <w:r>
        <w:rPr>
          <w:rFonts w:ascii="Times New Roman;serif" w:hAnsi="Times New Roman;serif"/>
          <w:b w:val="false"/>
          <w:bCs w:val="false"/>
          <w:color w:val="00000A"/>
          <w:sz w:val="28"/>
        </w:rPr>
        <w:t xml:space="preserve">СФК КСП-1 «Общие правила проведения контрольного мероприятия </w:t>
      </w:r>
      <w:r>
        <w:rPr>
          <w:rFonts w:ascii="Times New Roman;serif" w:hAnsi="Times New Roman;serif"/>
          <w:b w:val="false"/>
          <w:bCs w:val="false"/>
          <w:sz w:val="28"/>
        </w:rPr>
        <w:t xml:space="preserve">Контрольно-счетной палатой города Фрязино» </w:t>
      </w:r>
      <w:r>
        <w:rPr>
          <w:rFonts w:ascii="Times New Roman;serif" w:hAnsi="Times New Roman;serif"/>
          <w:bCs w:val="false"/>
        </w:rPr>
        <w:t> </w:t>
      </w:r>
      <w:r>
        <w:rPr>
          <w:rFonts w:ascii="Times New Roman;serif" w:hAnsi="Times New Roman;serif"/>
          <w:bCs w:val="false"/>
          <w:sz w:val="28"/>
          <w:szCs w:val="28"/>
        </w:rPr>
        <w:t> </w:t>
      </w:r>
      <w:r>
        <w:rPr>
          <w:rFonts w:ascii="Times New Roman;serif" w:hAnsi="Times New Roman;serif"/>
          <w:bCs w:val="false"/>
          <w:sz w:val="28"/>
          <w:szCs w:val="28"/>
        </w:rPr>
        <w:t>и</w:t>
      </w:r>
      <w:r>
        <w:rPr>
          <w:rFonts w:ascii="Times New Roman;serif" w:hAnsi="Times New Roman;serif"/>
          <w:bCs w:val="false"/>
          <w:sz w:val="28"/>
          <w:szCs w:val="28"/>
        </w:rPr>
        <w:t xml:space="preserve"> </w:t>
      </w:r>
      <w:r>
        <w:rPr>
          <w:rFonts w:ascii="Times New Roman;serif" w:hAnsi="Times New Roman;serif"/>
          <w:bCs w:val="false"/>
          <w:sz w:val="28"/>
        </w:rPr>
        <w:t xml:space="preserve">«Общие правила проведения проверок управления и </w:t>
      </w:r>
      <w:r>
        <w:rPr>
          <w:sz w:val="28"/>
        </w:rPr>
        <w:t xml:space="preserve">распоряжения имуществом, находящимся в муниципальной </w:t>
      </w:r>
      <w:r>
        <w:rPr/>
        <w:t> </w:t>
      </w:r>
      <w:r>
        <w:rPr>
          <w:sz w:val="28"/>
        </w:rPr>
        <w:t>собственности города Фрязино» .</w:t>
      </w:r>
    </w:p>
    <w:p>
      <w:pPr>
        <w:pStyle w:val="Normal"/>
        <w:spacing w:lineRule="auto" w:line="360"/>
        <w:jc w:val="both"/>
        <w:rPr/>
      </w:pPr>
      <w:r>
        <w:rPr>
          <w:sz w:val="28"/>
        </w:rPr>
        <w:t>По итогам проведенной проверки в адрес администратора неналоговых доходов направляются рекомендации (или требования)</w:t>
      </w:r>
      <w:r>
        <w:rPr>
          <w:rFonts w:ascii="Times New Roman;serif" w:hAnsi="Times New Roman;serif"/>
          <w:b w:val="false"/>
          <w:bCs w:val="false"/>
          <w:sz w:val="28"/>
        </w:rPr>
        <w:t xml:space="preserve"> среди которых могут быть: приведение реестра муниципального имущества в надлежащее состояние, осуществление надлежащего контроля за использованием муниципального имущества, повышение эффективности использования муниципального имущества, принятие мер по устранению выявленных нарушений  и недостатков, обеспечение мер по сокращению задолженности.</w:t>
      </w:r>
    </w:p>
    <w:p>
      <w:pPr>
        <w:pStyle w:val="Normal"/>
        <w:spacing w:lineRule="auto" w:line="360"/>
        <w:jc w:val="both"/>
        <w:rPr>
          <w:rFonts w:ascii="Times New Roman;serif" w:hAnsi="Times New Roman;serif"/>
          <w:color w:val="00000A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sectPr>
      <w:footerReference w:type="default" r:id="rId3"/>
      <w:type w:val="nextPage"/>
      <w:pgSz w:w="11906" w:h="16838"/>
      <w:pgMar w:left="1701" w:right="850" w:header="0" w:top="1134" w:footer="708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Times New Roman">
    <w:altName w:val="serif"/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7480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455.35pt;margin-top:0.05pt;width:12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3437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8"/>
    <w:pPr>
      <w:outlineLvl w:val="0"/>
    </w:pPr>
    <w:rPr/>
  </w:style>
  <w:style w:type="paragraph" w:styleId="2">
    <w:name w:val="Заголовок 2"/>
    <w:basedOn w:val="Style18"/>
    <w:pPr>
      <w:outlineLvl w:val="1"/>
    </w:pPr>
    <w:rPr/>
  </w:style>
  <w:style w:type="paragraph" w:styleId="3">
    <w:name w:val="Заголовок 3"/>
    <w:basedOn w:val="Style18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semiHidden/>
    <w:qFormat/>
    <w:rsid w:val="00a5343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semiHidden/>
    <w:qFormat/>
    <w:rsid w:val="00a53437"/>
    <w:rPr>
      <w:vertAlign w:val="superscript"/>
    </w:rPr>
  </w:style>
  <w:style w:type="character" w:styleId="Style12" w:customStyle="1">
    <w:name w:val="Нижний колонтитул Знак"/>
    <w:basedOn w:val="DefaultParagraphFont"/>
    <w:qFormat/>
    <w:rsid w:val="00a5343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a53437"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Style14" w:customStyle="1">
    <w:name w:val="Символ сноски"/>
    <w:qFormat/>
    <w:rPr/>
  </w:style>
  <w:style w:type="character" w:styleId="Style15" w:customStyle="1">
    <w:name w:val="Привязка сноски"/>
    <w:rPr>
      <w:vertAlign w:val="superscript"/>
    </w:rPr>
  </w:style>
  <w:style w:type="character" w:styleId="Style16" w:customStyle="1">
    <w:name w:val="Привязка концевой сноски"/>
    <w:rPr>
      <w:vertAlign w:val="superscript"/>
    </w:rPr>
  </w:style>
  <w:style w:type="character" w:styleId="Style17" w:customStyle="1">
    <w:name w:val="Символы концевой сноски"/>
    <w:qFormat/>
    <w:rPr/>
  </w:style>
  <w:style w:type="paragraph" w:styleId="Style18" w:customStyle="1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 w:customStyle="1">
    <w:name w:val="Заглавие"/>
    <w:basedOn w:val="Style18"/>
    <w:pPr/>
    <w:rPr/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qFormat/>
    <w:rsid w:val="00a53437"/>
    <w:pPr/>
    <w:rPr>
      <w:sz w:val="20"/>
      <w:szCs w:val="20"/>
    </w:rPr>
  </w:style>
  <w:style w:type="paragraph" w:styleId="Style24">
    <w:name w:val="Нижний колонтитул"/>
    <w:basedOn w:val="Normal"/>
    <w:rsid w:val="00a53437"/>
    <w:pPr>
      <w:tabs>
        <w:tab w:val="center" w:pos="4677" w:leader="none"/>
        <w:tab w:val="right" w:pos="9355" w:leader="none"/>
      </w:tabs>
    </w:pPr>
    <w:rPr/>
  </w:style>
  <w:style w:type="paragraph" w:styleId="Style25" w:customStyle="1">
    <w:name w:val="Сноска"/>
    <w:basedOn w:val="Normal"/>
    <w:pPr/>
    <w:rPr/>
  </w:style>
  <w:style w:type="paragraph" w:styleId="Style26" w:customStyle="1">
    <w:name w:val="Содержимое врезки"/>
    <w:basedOn w:val="Normal"/>
    <w:qFormat/>
    <w:pPr/>
    <w:rPr/>
  </w:style>
  <w:style w:type="paragraph" w:styleId="Style27" w:customStyle="1">
    <w:name w:val="Блочная цитата"/>
    <w:basedOn w:val="Normal"/>
    <w:qFormat/>
    <w:pPr/>
    <w:rPr/>
  </w:style>
  <w:style w:type="paragraph" w:styleId="Style28">
    <w:name w:val="Подзаголовок"/>
    <w:basedOn w:val="Style18"/>
    <w:pPr/>
    <w:rPr/>
  </w:style>
  <w:style w:type="paragraph" w:styleId="ListParagraph">
    <w:name w:val="List Paragraph"/>
    <w:basedOn w:val="Normal"/>
    <w:uiPriority w:val="34"/>
    <w:qFormat/>
    <w:rsid w:val="002410fa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007775"/>
    <w:pPr>
      <w:widowControl/>
      <w:bidi w:val="0"/>
      <w:spacing w:lineRule="auto" w:line="240"/>
      <w:jc w:val="left"/>
    </w:pPr>
    <w:rPr>
      <w:rFonts w:ascii="Arial" w:hAnsi="Arial" w:eastAsia="Calibri" w:cs="Arial" w:eastAsiaTheme="minorHAnsi"/>
      <w:color w:val="00000A"/>
      <w:sz w:val="24"/>
      <w:szCs w:val="20"/>
      <w:lang w:val="ru-RU" w:eastAsia="en-US" w:bidi="ar-SA"/>
    </w:rPr>
  </w:style>
  <w:style w:type="paragraph" w:styleId="ConsPlusNonformat">
    <w:name w:val="ConsPlusNonformat"/>
    <w:qFormat/>
    <w:pPr>
      <w:widowControl/>
      <w:bidi w:val="0"/>
      <w:spacing w:lineRule="auto" w:line="276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Title">
    <w:name w:val="ConsPlusTitle"/>
    <w:qFormat/>
    <w:pPr>
      <w:widowControl/>
      <w:bidi w:val="0"/>
      <w:spacing w:lineRule="auto" w:line="276"/>
      <w:jc w:val="left"/>
    </w:pPr>
    <w:rPr>
      <w:rFonts w:ascii="Arial" w:hAnsi="Arial" w:eastAsia="Arial" w:cs="Courier New"/>
      <w:b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Cell">
    <w:name w:val="ConsPlusCell"/>
    <w:qFormat/>
    <w:pPr>
      <w:widowControl/>
      <w:bidi w:val="0"/>
      <w:spacing w:lineRule="auto" w:line="276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DocList">
    <w:name w:val="ConsPlusDocList"/>
    <w:qFormat/>
    <w:pPr>
      <w:widowControl/>
      <w:bidi w:val="0"/>
      <w:spacing w:lineRule="auto" w:line="276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TitlePage">
    <w:name w:val="ConsPlusTitlePage"/>
    <w:qFormat/>
    <w:pPr>
      <w:widowControl/>
      <w:bidi w:val="0"/>
      <w:spacing w:lineRule="auto" w:line="276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00000A"/>
      <w:sz w:val="20"/>
      <w:szCs w:val="24"/>
      <w:u w:val="none"/>
      <w:lang w:val="ru-RU" w:eastAsia="en-US" w:bidi="ar-SA"/>
    </w:rPr>
  </w:style>
  <w:style w:type="paragraph" w:styleId="ConsPlusJurTerm">
    <w:name w:val="ConsPlusJurTerm"/>
    <w:qFormat/>
    <w:pPr>
      <w:widowControl/>
      <w:bidi w:val="0"/>
      <w:spacing w:lineRule="auto" w:line="276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00000A"/>
      <w:sz w:val="22"/>
      <w:szCs w:val="24"/>
      <w:u w:val="none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284AFD0DC9AF31EF29229169D260E528DF72B30B0496DE7D858C1N5Q9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Application>LibreOffice/5.0.0.5$Windows_x86 LibreOffice_project/1b1a90865e348b492231e1c451437d7a15bb262b</Application>
  <Paragraphs>111</Paragraphs>
  <Company>КонсультантПлюс Версия 4015.00.08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2016-05-31T16:16:00Z</dcterms:created>
  <dc:creator>Панченко</dc:creator>
  <dc:language>ru-RU</dc:language>
  <dcterms:modified xsi:type="dcterms:W3CDTF">2016-05-31T17:35:10Z</dcterms:modified>
  <cp:revision>32</cp:revision>
  <dc:title>"Земельный кодекс Российской Федерации" от 25.10.2001 N 136-ФЗ(ред. от 23.05.2016)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4015.00.08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