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155" w:rsidRPr="00C85155" w:rsidRDefault="00C85155" w:rsidP="00A37A74">
      <w:pPr>
        <w:tabs>
          <w:tab w:val="left" w:pos="993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5155">
        <w:rPr>
          <w:rFonts w:ascii="Times New Roman" w:eastAsia="Calibri" w:hAnsi="Times New Roman" w:cs="Times New Roman"/>
          <w:b/>
          <w:sz w:val="28"/>
          <w:szCs w:val="28"/>
        </w:rPr>
        <w:t>Условия финансового обеспечения проектов - общие требования и критерии, являющиеся основаниями для отбора проектов</w:t>
      </w:r>
      <w:r w:rsidR="00173495">
        <w:rPr>
          <w:rFonts w:ascii="Times New Roman" w:eastAsia="Calibri" w:hAnsi="Times New Roman" w:cs="Times New Roman"/>
          <w:b/>
          <w:sz w:val="28"/>
          <w:szCs w:val="28"/>
        </w:rPr>
        <w:t xml:space="preserve"> для финансирования Фондом.</w:t>
      </w:r>
    </w:p>
    <w:p w:rsidR="00C85155" w:rsidRPr="00C85155" w:rsidRDefault="00C85155" w:rsidP="00C85155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0" w:name="_Toc424118370"/>
      <w:bookmarkStart w:id="1" w:name="_Toc472350693"/>
      <w:r w:rsidRPr="00C85155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Введение</w:t>
      </w:r>
      <w:bookmarkEnd w:id="0"/>
      <w:bookmarkEnd w:id="1"/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Финансирование проектов осуществляется Фондом в соответствии со следующими условиями:</w:t>
      </w:r>
    </w:p>
    <w:p w:rsidR="00800C70" w:rsidRPr="00800C70" w:rsidRDefault="00800C70" w:rsidP="00C85155">
      <w:pPr>
        <w:numPr>
          <w:ilvl w:val="0"/>
          <w:numId w:val="3"/>
        </w:numPr>
        <w:tabs>
          <w:tab w:val="num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проекта условиям программы;</w:t>
      </w:r>
    </w:p>
    <w:p w:rsidR="00800C70" w:rsidRPr="00800C70" w:rsidRDefault="00800C70" w:rsidP="00C85155">
      <w:pPr>
        <w:numPr>
          <w:ilvl w:val="0"/>
          <w:numId w:val="3"/>
        </w:numPr>
        <w:tabs>
          <w:tab w:val="num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проекта критериям отбора проектов;</w:t>
      </w:r>
    </w:p>
    <w:p w:rsidR="00800C70" w:rsidRPr="00800C70" w:rsidRDefault="00800C70" w:rsidP="00C85155">
      <w:pPr>
        <w:numPr>
          <w:ilvl w:val="0"/>
          <w:numId w:val="3"/>
        </w:numPr>
        <w:tabs>
          <w:tab w:val="num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Заявителя требованиям, предъявляемым к претендентам на получение финансирования;</w:t>
      </w:r>
    </w:p>
    <w:p w:rsidR="00800C70" w:rsidRPr="00800C70" w:rsidRDefault="00800C70" w:rsidP="00C85155">
      <w:pPr>
        <w:numPr>
          <w:ilvl w:val="0"/>
          <w:numId w:val="3"/>
        </w:numPr>
        <w:tabs>
          <w:tab w:val="num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планируемых расходов перечню направлений целевого использования предоставляемого финансирования проекта;</w:t>
      </w:r>
    </w:p>
    <w:p w:rsidR="00800C70" w:rsidRPr="00800C70" w:rsidRDefault="00800C70" w:rsidP="00C85155">
      <w:pPr>
        <w:numPr>
          <w:ilvl w:val="0"/>
          <w:numId w:val="3"/>
        </w:numPr>
        <w:tabs>
          <w:tab w:val="num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проекта со стороны</w:t>
      </w:r>
      <w:r w:rsidRPr="00800C70">
        <w:rPr>
          <w:rFonts w:ascii="Calibri" w:eastAsia="Calibri" w:hAnsi="Calibri" w:cs="Times New Roman"/>
        </w:rPr>
        <w:t xml:space="preserve"> </w:t>
      </w:r>
      <w:r w:rsidRPr="00800C70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автономного учреждения «Российский фонд технологического развития» (Фонд развития промышленности).</w:t>
      </w:r>
    </w:p>
    <w:p w:rsidR="00800C70" w:rsidRPr="00800C70" w:rsidRDefault="00800C70" w:rsidP="00C85155">
      <w:pPr>
        <w:keepNext/>
        <w:keepLines/>
        <w:widowControl w:val="0"/>
        <w:numPr>
          <w:ilvl w:val="0"/>
          <w:numId w:val="7"/>
        </w:numPr>
        <w:tabs>
          <w:tab w:val="num" w:pos="993"/>
        </w:tabs>
        <w:overflowPunct w:val="0"/>
        <w:autoSpaceDE w:val="0"/>
        <w:autoSpaceDN w:val="0"/>
        <w:adjustRightInd w:val="0"/>
        <w:spacing w:before="360" w:after="60" w:line="276" w:lineRule="auto"/>
        <w:ind w:left="0"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2" w:name="_Toc472350694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Основные термины и определения</w:t>
      </w:r>
      <w:bookmarkEnd w:id="2"/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Toc437460690"/>
      <w:r w:rsidRPr="00800C70">
        <w:rPr>
          <w:rFonts w:ascii="Times New Roman" w:eastAsia="Calibri" w:hAnsi="Times New Roman" w:cs="Times New Roman"/>
          <w:b/>
          <w:sz w:val="24"/>
          <w:szCs w:val="24"/>
        </w:rPr>
        <w:t xml:space="preserve">Аффилированные лица – </w:t>
      </w:r>
      <w:r w:rsidRPr="00800C70">
        <w:rPr>
          <w:rFonts w:ascii="Times New Roman" w:eastAsia="Calibri" w:hAnsi="Times New Roman" w:cs="Times New Roman"/>
          <w:sz w:val="24"/>
          <w:szCs w:val="24"/>
        </w:rPr>
        <w:t>физические и юридические лица, способные оказывать влияние на деятельность юридических и (или) физических лиц, осуществляющих предпринимательскую деятельность, и признаваемые таковыми в соответствии с законодательством Российской Федерации.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Бенефициарный владелец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физическое лицо, которое, в конечном счете, прямо или косвенно (через третьих лиц) владеет юридическим лицом или имеет в нем преобладающее участие (более 25 процентов в капитале), либо имеет возможность контролировать его действия в силу иных оснований.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</w:rPr>
      </w:pPr>
      <w:bookmarkStart w:id="4" w:name="_Toc438817165"/>
      <w:r w:rsidRPr="00C8515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Государственная информационная система промышленности (ГИСП) - </w:t>
      </w:r>
      <w:r w:rsidRPr="00C85155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>государственная информационная система, созданная в соответствии со ст. 14 Федерального закона от 31.12.2014 № 488-ФЗ «О промышленной политике в Российской Федерации».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Группа лиц </w:t>
      </w:r>
      <w:r w:rsidRPr="00800C70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 xml:space="preserve">– совокупность физических и юридических лиц, каждое из которых </w:t>
      </w:r>
      <w:r w:rsidRPr="00800C70">
        <w:rPr>
          <w:rFonts w:ascii="Times New Roman" w:eastAsia="Calibri" w:hAnsi="Times New Roman" w:cs="Times New Roman"/>
          <w:sz w:val="24"/>
          <w:szCs w:val="24"/>
        </w:rPr>
        <w:t>способно оказывать влияние на деятельность (или деятельность которого находится под влиянием) таких юридических и (или) физических лиц, и (или) находящиеся под влиянием (контролем) одного юридического и (или) физического лица, и признаваемые таковыми в соответствии с законодательством Российской Федерации или в силу экономического влияния.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800C7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Заем –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целевой заем, предоставленный Фондом в качестве финансирования проектов субъектам деятельности в сфере промышленности.</w:t>
      </w:r>
      <w:bookmarkEnd w:id="4"/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Заявитель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российский субъект деятельности в сфере промышленности, осуществляющий свою деятельность на территории Московской области, предоставивший документы в Фонд для участия в программах финансирования.</w:t>
      </w:r>
    </w:p>
    <w:bookmarkEnd w:id="3"/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Ключевой исполнитель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поставщик промышленного оборудования, подрядчик на выполнение работ (услуг), на которого приходится выплата Заемщиком более чем 20% от суммы займа в ходе реализации проекта.</w:t>
      </w:r>
    </w:p>
    <w:p w:rsidR="00800C70" w:rsidRPr="00173495" w:rsidRDefault="00800C70" w:rsidP="001734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Критические замечания – </w:t>
      </w:r>
      <w:r w:rsidRPr="00800C70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 xml:space="preserve">недостатки, выявленные в ходе экспертизы и отбора проектов, внешние и внутренние ограничения, которые могут препятствовать успешной </w:t>
      </w:r>
      <w:r w:rsidRPr="00800C70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lastRenderedPageBreak/>
        <w:t xml:space="preserve">реализации проекта ввиду того, что они являются существенными и не были учтены при его подготовке, но при этом </w:t>
      </w:r>
      <w:r w:rsidRPr="00800C70">
        <w:rPr>
          <w:rFonts w:ascii="Times New Roman" w:eastAsia="Calibri" w:hAnsi="Times New Roman" w:cs="Times New Roman"/>
          <w:sz w:val="24"/>
          <w:szCs w:val="24"/>
        </w:rPr>
        <w:t>не являющиеся безусловным препятствием для</w:t>
      </w:r>
      <w:r w:rsidR="00173495">
        <w:rPr>
          <w:rFonts w:ascii="Times New Roman" w:eastAsia="Calibri" w:hAnsi="Times New Roman" w:cs="Times New Roman"/>
          <w:sz w:val="24"/>
          <w:szCs w:val="24"/>
        </w:rPr>
        <w:t xml:space="preserve"> финансирования проекта Фондом.</w:t>
      </w:r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Основные участники проекта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лица, участие которых в рассматриваемом проекте является критичным для его успешной реализации, включая  ключевых исполнителей, обладающих компетенциями, необходимыми при осуществлении определенных видов деятельности; лица, предоставляющие финансирование и обеспечение по проекту (финансовые организации, инвесторы, поручители, гаранты, залогодатели); лица, предоставляющие доступ к ключевым активам по проекту (например, патент, технологию/ноу-хау, земельный участок); лизинговые компании; банки. </w:t>
      </w:r>
    </w:p>
    <w:p w:rsidR="00C85155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Обеспечение возврата займа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виды обеспечения, принимаемые Фондом и предусмотренные </w:t>
      </w:r>
      <w:bookmarkStart w:id="5" w:name="_Hlk478764405"/>
      <w:r w:rsidRPr="00C85155">
        <w:rPr>
          <w:rFonts w:ascii="Times New Roman" w:eastAsia="Calibri" w:hAnsi="Times New Roman" w:cs="Times New Roman"/>
          <w:sz w:val="24"/>
          <w:szCs w:val="24"/>
        </w:rPr>
        <w:t>Положением о порядке обеспечения возврата займов, предоставленных в качестве финансирования проектов некоммерческой организацией «Государственный фонд развития промышленности Московской области» № ПФ-02-2017</w:t>
      </w:r>
      <w:bookmarkEnd w:id="5"/>
      <w:r w:rsidR="00C85155" w:rsidRPr="00C85155">
        <w:rPr>
          <w:rFonts w:ascii="Times New Roman" w:eastAsia="Calibri" w:hAnsi="Times New Roman" w:cs="Times New Roman"/>
          <w:sz w:val="24"/>
          <w:szCs w:val="24"/>
        </w:rPr>
        <w:t>.</w:t>
      </w:r>
      <w:r w:rsidRPr="00C8515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Общий бюджет проекта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сумма всех затрат по проекту (не включая проценты по договору займа между Заявителем, </w:t>
      </w:r>
      <w:r w:rsidRPr="00C85155">
        <w:rPr>
          <w:rFonts w:ascii="Times New Roman" w:eastAsia="Calibri" w:hAnsi="Times New Roman" w:cs="Times New Roman"/>
          <w:sz w:val="24"/>
          <w:szCs w:val="24"/>
        </w:rPr>
        <w:t xml:space="preserve">Фондом и Федеральным </w:t>
      </w:r>
      <w:r w:rsidRPr="00800C70">
        <w:rPr>
          <w:rFonts w:ascii="Times New Roman" w:eastAsia="Calibri" w:hAnsi="Times New Roman" w:cs="Times New Roman"/>
          <w:sz w:val="24"/>
          <w:szCs w:val="24"/>
        </w:rPr>
        <w:t>Фондом, а также по договорам по привлечению финансирования): общая сумма ранее осуществленных и планируемых инвестиций в проект (понесенных не ранее двух лет, предшествующих дате подачи Заявки), включая затраты на подготовку проекта и предпроектные работы (подготовка проектно-сметной документации, получение необходимых согласований и разрешений, проектно-изыскательские работы и т.д.), проектные работы (строительные, монтажные, пуско-наладочные работы и т.д.), капитальные вложения (приобретение зданий, сооружений и оборудования и т.д.), подбор и обучение персонала, инвестиции и оборотный капитал и иные затраты. Планируемые инвестиции в проект указываются в номинальных ценах (с учетом прогнозной инфляции соответствующих затрат). Ранее осуществленные инвестиции в проект указываются отдельно по фактической величине понесенных и документально подтвержденных затрат.</w:t>
      </w:r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 xml:space="preserve">Проект – </w:t>
      </w:r>
      <w:r w:rsidRPr="00800C70">
        <w:rPr>
          <w:rFonts w:ascii="Times New Roman" w:eastAsia="Calibri" w:hAnsi="Times New Roman" w:cs="Times New Roman"/>
          <w:sz w:val="24"/>
          <w:szCs w:val="24"/>
        </w:rPr>
        <w:t>совокупность организационных, технических, финансовых, кадровых мероприятий, имеющих целью в установленные бюджет и сроки создание нового предприятия/производства и/или его модернизацию для внедрения новых технологий и продукции.</w:t>
      </w:r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Субъект деятельности в сфере промышленности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российское юридическое лицо, осуществляющее деятельность в сфере промышленности на территории Московской области.</w:t>
      </w:r>
    </w:p>
    <w:p w:rsidR="00800C70" w:rsidRPr="00800C70" w:rsidRDefault="00800C70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Технологическое перевооружение и модернизация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– комплекс мероприятий по повышению технологического и/или технико-экономического уровня отдельных производств, цехов и участков в соответствии с принципами наилучших доступных технологий, механизации и автоматизации производства, модернизации и замены устаревшего и физически изношенного оборудования новым, более производительным. 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478687526"/>
      <w:r w:rsidRPr="00800C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Фонд </w:t>
      </w:r>
      <w:r w:rsidRPr="00800C70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 xml:space="preserve">– </w:t>
      </w:r>
      <w:r w:rsidRPr="00800C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00C70">
        <w:rPr>
          <w:rFonts w:ascii="Times New Roman" w:eastAsia="Calibri" w:hAnsi="Times New Roman" w:cs="Times New Roman"/>
          <w:sz w:val="24"/>
          <w:szCs w:val="24"/>
        </w:rPr>
        <w:t>некоммерческая организация «Государственный фонд развития промышленности Московской области».</w:t>
      </w:r>
      <w:bookmarkEnd w:id="6"/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>Федеральный Фонд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- Федеральное государственное автономное учреждение «Российский фонд технологического развития» (Федеральный Фонд развития промышленности)</w:t>
      </w:r>
    </w:p>
    <w:p w:rsidR="00800C70" w:rsidRPr="00800C70" w:rsidRDefault="00800C70" w:rsidP="00800C7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b/>
          <w:sz w:val="24"/>
          <w:szCs w:val="24"/>
        </w:rPr>
        <w:t xml:space="preserve">Экспертный совет – </w:t>
      </w:r>
      <w:r w:rsidRPr="00800C70">
        <w:rPr>
          <w:rFonts w:ascii="Times New Roman" w:eastAsia="Calibri" w:hAnsi="Times New Roman" w:cs="Times New Roman"/>
          <w:sz w:val="24"/>
          <w:szCs w:val="24"/>
        </w:rPr>
        <w:t>коллегиальный орган управления Фонда, к компетенции которого относится принятие решения о предоставлении финансовой поддержки по проектам.</w:t>
      </w:r>
    </w:p>
    <w:p w:rsidR="00800C70" w:rsidRPr="00800C70" w:rsidRDefault="00800C70" w:rsidP="00800C70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7" w:name="_Toc472350695"/>
      <w:bookmarkStart w:id="8" w:name="_Toc437460692"/>
      <w:bookmarkStart w:id="9" w:name="_Toc424117593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lastRenderedPageBreak/>
        <w:t xml:space="preserve">Условия </w:t>
      </w:r>
      <w:bookmarkEnd w:id="7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программы</w:t>
      </w:r>
      <w:bookmarkStart w:id="10" w:name="_Toc424117594"/>
      <w:bookmarkEnd w:id="8"/>
      <w:bookmarkEnd w:id="9"/>
    </w:p>
    <w:p w:rsidR="00800C70" w:rsidRPr="00800C70" w:rsidRDefault="00800C70" w:rsidP="00800C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0C70">
        <w:rPr>
          <w:rFonts w:ascii="Times New Roman" w:eastAsia="Calibri" w:hAnsi="Times New Roman" w:cs="Times New Roman"/>
          <w:i/>
          <w:sz w:val="24"/>
          <w:szCs w:val="24"/>
        </w:rPr>
        <w:t>В соответствии с программой "Проекты развития" производится заемное финансирование проектов, реализуемых по приоритетным направлениям российской промышленности в отра</w:t>
      </w:r>
      <w:r w:rsidR="00617FF3">
        <w:rPr>
          <w:rFonts w:ascii="Times New Roman" w:eastAsia="Calibri" w:hAnsi="Times New Roman" w:cs="Times New Roman"/>
          <w:i/>
          <w:sz w:val="24"/>
          <w:szCs w:val="24"/>
        </w:rPr>
        <w:t>слях, указанных в Приложении № 2</w:t>
      </w:r>
      <w:r w:rsidRPr="00800C70">
        <w:rPr>
          <w:rFonts w:ascii="Times New Roman" w:eastAsia="Calibri" w:hAnsi="Times New Roman" w:cs="Times New Roman"/>
          <w:i/>
          <w:sz w:val="24"/>
          <w:szCs w:val="24"/>
        </w:rPr>
        <w:t xml:space="preserve">, и направленных </w:t>
      </w:r>
      <w:r w:rsidRPr="00800C7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на разработку и внедрение на предприятиях перспективных технологий, соответствующих принципам наилучших доступных технологий (в том числе базовых отраслевых технологий),</w:t>
      </w:r>
      <w:r w:rsidRPr="00800C70">
        <w:rPr>
          <w:rFonts w:ascii="Times New Roman" w:eastAsia="Calibri" w:hAnsi="Times New Roman" w:cs="Times New Roman"/>
          <w:i/>
          <w:sz w:val="24"/>
          <w:szCs w:val="24"/>
        </w:rPr>
        <w:t xml:space="preserve"> на производство новой конкурентоспособной и высокотехнологичной продукции гражданского назначения с импортозамещающим или экспортным потенциалом.</w:t>
      </w:r>
    </w:p>
    <w:p w:rsidR="00800C70" w:rsidRPr="00800C70" w:rsidRDefault="00C85155" w:rsidP="00800C7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800C70" w:rsidRPr="00800C70">
        <w:rPr>
          <w:rFonts w:ascii="Times New Roman" w:eastAsia="Calibri" w:hAnsi="Times New Roman" w:cs="Times New Roman"/>
          <w:sz w:val="24"/>
          <w:szCs w:val="24"/>
        </w:rPr>
        <w:t>.1. В рамках программы осуществляется финансирование проектов, соответствующих следующим требованиям:</w:t>
      </w:r>
    </w:p>
    <w:p w:rsidR="00800C70" w:rsidRPr="00800C70" w:rsidRDefault="00800C70" w:rsidP="00FA4EA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срок займа – не более 5 лет; </w:t>
      </w:r>
    </w:p>
    <w:p w:rsidR="00800C70" w:rsidRPr="00800C70" w:rsidRDefault="00800C70" w:rsidP="00FA4EA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общий бюджет проекта - не менее 40 млн руб.;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сумма займа – от 20 до 100 млн руб.;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целевой объем продаж новой продукции - не менее 50% от суммы займа в год, начиная со 2 года серийного производства;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наличие обязательств по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софинансированию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проекта со стороны Заявителя, частных инвесторов или за счет банковских кредитов в объеме не менее 50% общего бюджета проекта</w:t>
      </w:r>
      <w:r w:rsidRPr="00800C70">
        <w:rPr>
          <w:rFonts w:ascii="Arial" w:eastAsia="Calibri" w:hAnsi="Arial" w:cs="Arial"/>
          <w:sz w:val="24"/>
          <w:szCs w:val="24"/>
        </w:rPr>
        <w:t xml:space="preserve">. </w:t>
      </w:r>
    </w:p>
    <w:p w:rsidR="00800C70" w:rsidRPr="00800C70" w:rsidRDefault="00800C70" w:rsidP="00800C7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Экспертный совет Фонда при принятии решения о финансировании проекта определяет сумму и срок займа, исходя из особенностей проекта и финансового состояния Заявителя, но не более суммы, запрошенной Заявителем.</w:t>
      </w:r>
    </w:p>
    <w:p w:rsidR="00800C70" w:rsidRPr="00800C70" w:rsidRDefault="00800C70" w:rsidP="00800C70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При расчете объема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проекта со стороны Заявителя, частных инвесторов или за счет банковских кредитов:</w:t>
      </w:r>
    </w:p>
    <w:p w:rsidR="00800C70" w:rsidRPr="00800C70" w:rsidRDefault="00800C70" w:rsidP="00FA4EA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могут быть учтены инвестиции, осуществленные в проект не ранее двух лет, предшествующих дате подачи Заявки, при условии документального подтверждения понесенных затрат до вынесения проекта на рассмотрение Экспертным советом Фонда; </w:t>
      </w:r>
    </w:p>
    <w:p w:rsidR="00800C70" w:rsidRPr="00800C70" w:rsidRDefault="00800C70" w:rsidP="00FA4EA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не учитываются инвестиции, осуществляемые (осуществленные) за счет средств, выделяемых напрямую для поддержки проектов из бюджета (субсидии и т.п.);</w:t>
      </w:r>
    </w:p>
    <w:p w:rsidR="00800C70" w:rsidRPr="00800C70" w:rsidRDefault="00800C70" w:rsidP="00FA4EA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не учитываются доходы в виде денежного потока, генерируемого проектом.</w:t>
      </w:r>
    </w:p>
    <w:p w:rsidR="00800C70" w:rsidRPr="00800C70" w:rsidRDefault="00800C70" w:rsidP="00800C7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за счет собственных средств Заявителя (и/или аффилированных лиц, бенефициаров Заявителя) в размере не менее 15% от суммы займа должно быть осуществлено в следующий период: не ранее 2 лет до даты подачи Заявки и не позднее 6 месяцев с даты заключения договора Займа.</w:t>
      </w:r>
    </w:p>
    <w:p w:rsidR="00800C70" w:rsidRPr="00800C70" w:rsidRDefault="00C85155" w:rsidP="00800C70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800C70" w:rsidRPr="00800C70">
        <w:rPr>
          <w:rFonts w:ascii="Times New Roman" w:eastAsia="Calibri" w:hAnsi="Times New Roman" w:cs="Times New Roman"/>
          <w:sz w:val="24"/>
          <w:szCs w:val="24"/>
        </w:rPr>
        <w:t>.2. В рамках данной программы Фонд осуществляет финансирование проектов совместно с Федеральным Фондом развития промышленности, с</w:t>
      </w:r>
      <w:r w:rsidR="00800C70" w:rsidRPr="00800C70">
        <w:rPr>
          <w:rFonts w:ascii="Calibri" w:eastAsia="Calibri" w:hAnsi="Calibri" w:cs="Times New Roman"/>
        </w:rPr>
        <w:t xml:space="preserve"> </w:t>
      </w:r>
      <w:r w:rsidR="00800C70" w:rsidRPr="00800C70">
        <w:rPr>
          <w:rFonts w:ascii="Times New Roman" w:eastAsia="Calibri" w:hAnsi="Times New Roman" w:cs="Times New Roman"/>
          <w:sz w:val="24"/>
          <w:szCs w:val="24"/>
        </w:rPr>
        <w:t>которыми заключено соответствующее соглашение.</w:t>
      </w:r>
    </w:p>
    <w:p w:rsidR="00800C70" w:rsidRPr="00800C70" w:rsidRDefault="00800C70" w:rsidP="00800C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Параметры участия каждого из фондов в финансировании проектов определяются соглашениями, заключенными между Фондом и Федеральным Фондом.</w:t>
      </w:r>
    </w:p>
    <w:p w:rsidR="00800C70" w:rsidRPr="00800C70" w:rsidRDefault="00800C70" w:rsidP="00800C70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11" w:name="_Toc437460693"/>
      <w:bookmarkStart w:id="12" w:name="_Toc472350696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Критерии отбора проектов для </w:t>
      </w:r>
      <w:bookmarkEnd w:id="10"/>
      <w:bookmarkEnd w:id="11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финансирования</w:t>
      </w:r>
      <w:bookmarkEnd w:id="12"/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4.1. В рамках отбора проектов для финансирования со стороны Фонда осуществляется оценка проектов на соответствие следующим критериям: 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рыночная перспективность и потенциал импортозамещения/экспортный </w:t>
      </w:r>
      <w:r w:rsidRPr="00FA4EAD">
        <w:rPr>
          <w:rFonts w:ascii="Times New Roman" w:eastAsia="Calibri" w:hAnsi="Times New Roman" w:cs="Times New Roman"/>
          <w:sz w:val="24"/>
          <w:szCs w:val="24"/>
        </w:rPr>
        <w:t>потенциал продукта;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научно-техническая перспективность продукта и проекта, включая соответствие принципам наилучших доступных технологий;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производственная обоснованность проекта и стратегическая заинтересованность компании в его реализации;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финансово-экономическая эффективность и устойчивость проекта;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финансовая состоятельность Заявителя; 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качество и достаточность обеспечения возврата займа;</w:t>
      </w:r>
    </w:p>
    <w:p w:rsidR="00800C70" w:rsidRPr="00800C70" w:rsidRDefault="00800C70" w:rsidP="00FA4E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юридическая состоятельность Заявителя, лиц, предоставивших обеспечение, ключевых исполнителей и схемы реализации проекта.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4.2. 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Рыночная перспективность и потенциал импортозамещения/экспортный потенциал продукта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соответствия Проекта одному или нескольким из следующих параметров: </w:t>
      </w:r>
    </w:p>
    <w:p w:rsidR="00800C70" w:rsidRPr="00800C70" w:rsidRDefault="00800C70" w:rsidP="00550F8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рынка для продукта;</w:t>
      </w:r>
    </w:p>
    <w:p w:rsidR="00800C70" w:rsidRPr="00800C70" w:rsidRDefault="00800C70" w:rsidP="00550F8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положительная динамика развития рынка;</w:t>
      </w:r>
    </w:p>
    <w:p w:rsidR="00800C70" w:rsidRPr="00800C70" w:rsidRDefault="00800C70" w:rsidP="00550F8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выпускаемая продукция имеет конкурентные преимущества относительно российских или зарубежных аналогов, представленных на рынке, или по своим технико-экономическим параметрам соответствует мировому уровню или превышает его;</w:t>
      </w:r>
    </w:p>
    <w:p w:rsidR="00800C70" w:rsidRPr="00800C70" w:rsidRDefault="00800C70" w:rsidP="00550F8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сбыт выпускаемой продукции направлен на замещение импорта на внутреннем рынке, в том числе отнесение продукта к категории импортозамещающих согласно отраслевым планам, утверждаемым федеральным органом исполнительной власти, уполномоченным Правительством РФ; </w:t>
      </w:r>
    </w:p>
    <w:p w:rsidR="00800C70" w:rsidRPr="00800C70" w:rsidRDefault="00800C70" w:rsidP="00550F8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сбыт выпускаемой продукции ориентирован на экспорт.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4.3. 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Научно-техническая перспективность продукта и проекта, включая соответствие принципам наилучших доступных технологий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соответствия Проекта одному или нескольким из следующих параметров: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отнесение внедряемых новых технологий к приоритетным направлениям развития науки, технологий и техники в Российской Федерации, в частности, соответствуют перечню критических технологий, утвержденному указом Президента Российской Федерации № 899 от 07.07.2011;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новизна технических решений относительно российского технического уровня; 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отнесение получаемой в ходе реализации проекта продукции к промышленной продукции, не имеющей аналогов, производимых в Российской Федерации;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разработок и внедряемых технологий принципам наилучших доступных технологий, в том числе утвержденным информационно-технологическим справочникам по наилучшим доступным технологиям;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у получаемой в ходе реализации проекта промышленной продукции потенциала импортозамещения;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техническая реализуемость проекта;</w:t>
      </w:r>
    </w:p>
    <w:p w:rsidR="00800C70" w:rsidRPr="00800C70" w:rsidRDefault="00800C70" w:rsidP="003828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научно-технического задела и подтверждение прав Заявителя на него.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4.4. 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Производственная обоснованность проекта и стратегическая заинтересованность компании в его реализации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по следующим параметрам: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производственных активов на территории России для внедрения результатов или наличие соответствующих мероприятий по созданию активов и бюджета в бизнес-плане;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отсутствие критической зависимости проекта от импортного сырья или комплектующих; 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соответствие проекта основной деятельности компании и ее бизнес-стратегии, стратегическая важность проекта для компании, заинтересованность компании в его реализации;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наличие материально-технической базы для выполнения разработки у Заявителя; 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обоснованность графика и сроков мероприятий разработки нового продукта; 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обоснованность бюджета на разработку нового продукта;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необходимых для разработки компетенций, профессиональная репутация проектной команды Заявителя.</w:t>
      </w:r>
    </w:p>
    <w:p w:rsidR="00800C70" w:rsidRPr="00800C70" w:rsidRDefault="00800C70" w:rsidP="00800C7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4.5. 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Финансово-экономическая эффективность и устойчивость проекта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финансовых ресурсов Заявителя по следующим параметрам: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обоснованность и достаточность планируемых финансовых ресурсов для реализации проекта;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наличие в полном объеме необходимых финансовых ресурсов для реализации всего проекта с учетом суммы займа и обоснования объемов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со стороны третьих лиц;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наличие в полном объеме необходимых финансовых ресурсов, достаточных для обслуживания и погашения займа Фонда Заявителем, в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>. за счет денежных потоков, генерируемых проектом, либо подтверждена возможность обслуживания займа Фонда за счет денежных потоков от текущей деятельности Заявителя;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сумма чистого дисконтированного денежного потока, генерируемого проектом (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net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present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value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>, NPV), положительна;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бизнес-план содержит необходимую информацию с обоснованными оценками параметров, критических для достижения целей проекта, и не содержит внутренних противоречий.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4.6. Для оценки соответствия проекта критерию «Финансовая состоятельность Заявителя» осуществляется, в частности, экспертиза по следующим параметрам: текущее и прогнозируемое на срок займа финансовое положение Заявителя устойчиво с точки зрения достаточности активов и денежных потоков, отсутствуют признаки банкротства, определяемые в соответствии с законодательством Российской Федерации.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4.7. Для оценки соответствия проекта критерию «Обеспечение возврата займа» осуществляется экспертиза на соответствие предоставленного Заявителем обеспечения возврата займа требованиям Положения Фонда № ПФ-02-2017, предъявляемым к качеству и достаточности обеспечения.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4.8. 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Юридическая состоятельность Заявителя, лиц, предоставивших обеспечение и схемы реализации проекта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по следующим параметрам: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учредительных документов Заявителя, лиц, предоставивших обеспечение, действующему законодательству;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схемы предполагаемых сделок по проекту действующему законодательству, включая отсутствие расчетов, проводимых с использованием средств целевого финансирования Фонда, через кондуитные компании, зарегистрированные в низконалоговых юрисдикциях, или с целью перечисления средств займа бенефициарным владельцам;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прозрачность состава участников (акционеров) / бенефициарных владельцев Заявителя, лиц, предоставивших обеспечение;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отсутствие открытых судебных разбирательств или неурегулированных требований, прямо влияющих на реализацию проекта (включая разбирательства с кредитными организациями или институтами развития), или в объеме, превышающем 10% </w:t>
      </w: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от стоимости балансовых активов Заявителя / лиц, предоставивших обеспечение;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отсутствие процедуры банкротства, ликвидации, реорганизации (за исключением реорганизации в форме преобразования, присоединения, слияния) Заявителя, лиц, предоставивших обеспечение (за исключением реорганизации институтов развития и кредитных организаций, предоставивших гарантии/поручительства, а также третьих лиц, предоставивших в залог имущество);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полномочий представителей сторон к совершению предполагаемой сделки Заявителя, лиц, предоставивших обеспечение.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4.9.</w:t>
      </w:r>
      <w:r w:rsidRPr="00800C70">
        <w:rPr>
          <w:rFonts w:ascii="Arial" w:eastAsia="Calibri" w:hAnsi="Arial" w:cs="Arial"/>
          <w:sz w:val="24"/>
          <w:szCs w:val="24"/>
        </w:rPr>
        <w:t xml:space="preserve"> </w:t>
      </w:r>
      <w:r w:rsidRPr="00800C70">
        <w:rPr>
          <w:rFonts w:ascii="Times New Roman" w:eastAsia="Calibri" w:hAnsi="Times New Roman" w:cs="Times New Roman"/>
          <w:sz w:val="24"/>
          <w:szCs w:val="24"/>
        </w:rPr>
        <w:t>В случае привлечения для реализации проекта ключевого исполнителя Фонд осуществляет оценку соответствия такого лица требованиям к ключевому исполнителю.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«</w:t>
      </w:r>
      <w:r w:rsidRPr="00800C70">
        <w:rPr>
          <w:rFonts w:ascii="Times New Roman" w:eastAsia="Calibri" w:hAnsi="Times New Roman" w:cs="Times New Roman"/>
          <w:sz w:val="24"/>
          <w:szCs w:val="24"/>
        </w:rPr>
        <w:t>Производственная обоснованность привлечения ключевого исполнителя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осуществляется, в частности, экспертиза по следующим параметрам: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производственных активов и материально-технической базы у ключевого исполнителя;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выполняемых работ по проекту основной деятельности компании;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обоснованность бюджета;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наличие необходимых для разработки компетенций, профессиональная репутация ключевого исполнителя</w:t>
      </w:r>
      <w:r w:rsidRPr="00800C70">
        <w:rPr>
          <w:rFonts w:ascii="Arial" w:eastAsia="Calibri" w:hAnsi="Arial" w:cs="Arial"/>
          <w:sz w:val="24"/>
          <w:szCs w:val="24"/>
        </w:rPr>
        <w:t>.</w:t>
      </w:r>
    </w:p>
    <w:p w:rsidR="00800C70" w:rsidRPr="00800C70" w:rsidRDefault="00800C70" w:rsidP="003B5323">
      <w:pPr>
        <w:widowControl w:val="0"/>
        <w:tabs>
          <w:tab w:val="left" w:pos="993"/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800C70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Для оценки соответствия проекта критерию 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«</w:t>
      </w:r>
      <w:r w:rsidRPr="00800C70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Юридическая состоятельность ключевого исполнителя</w:t>
      </w:r>
      <w:r w:rsidRPr="00800C70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» </w:t>
      </w:r>
      <w:r w:rsidRPr="00800C70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осуществляется, в частности, экспертиза по следующим параметрам: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учредительных документов ключевого исполнителя действующему законодательству и деятельности по проекту;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прозрачность состава участников (акционеров) / бенефициарных владельцев ключевого исполнителя;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отсутствие открытых судебных разбирательств или неурегулированных требований, прямо влияющих на реализацию проекта, с участием ключевого исполнителя;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отсутствие процедуры банкротства, ликвидации ключевого исполнителя;</w:t>
      </w:r>
    </w:p>
    <w:p w:rsidR="00800C70" w:rsidRPr="00800C70" w:rsidRDefault="00800C70" w:rsidP="003B5323">
      <w:pPr>
        <w:widowControl w:val="0"/>
        <w:numPr>
          <w:ilvl w:val="0"/>
          <w:numId w:val="3"/>
        </w:numPr>
        <w:tabs>
          <w:tab w:val="left" w:pos="993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соответствие схемы предполагаемых сделок с Заявителем по проекту действующему законодательству, включая отсутствие расчетов, проводимых с использованием средств целевого финансирования Фонда, через кондуитные компании, зарегистрированные в низконалоговых юрисдикциях, или с целью перечисления средств займа бенефициарным владельцам.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4.10. Для целей </w:t>
      </w:r>
      <w:r w:rsidR="00173495">
        <w:rPr>
          <w:rFonts w:ascii="Times New Roman" w:eastAsia="Calibri" w:hAnsi="Times New Roman" w:cs="Times New Roman"/>
          <w:sz w:val="24"/>
          <w:szCs w:val="24"/>
        </w:rPr>
        <w:t>финансовой поддержки Фондом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идентификация бенефициарных владельцев не проводится в отношении лиц, являющихся:</w:t>
      </w:r>
    </w:p>
    <w:p w:rsidR="00800C70" w:rsidRPr="00800C70" w:rsidRDefault="00800C70" w:rsidP="003B5323">
      <w:pPr>
        <w:numPr>
          <w:ilvl w:val="0"/>
          <w:numId w:val="3"/>
        </w:numPr>
        <w:shd w:val="clear" w:color="auto" w:fill="FFFFFF"/>
        <w:tabs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государственными корпорациями или организациями, в которых Российская Федерация, субъекты Российской Федерации либо муниципальные образования имеют более 50 процентов акций (долей) в капитале;</w:t>
      </w:r>
    </w:p>
    <w:p w:rsidR="00800C70" w:rsidRPr="00800C70" w:rsidRDefault="00800C70" w:rsidP="003B5323">
      <w:pPr>
        <w:numPr>
          <w:ilvl w:val="0"/>
          <w:numId w:val="3"/>
        </w:numPr>
        <w:shd w:val="clear" w:color="auto" w:fill="FFFFFF"/>
        <w:tabs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эмитентами ценных бумаг, допущенных к организованным торгам, которые раскрывают информацию в соответствии с законодательством Российской Федерации о ценных бумагах;</w:t>
      </w:r>
    </w:p>
    <w:p w:rsidR="00800C70" w:rsidRPr="00800C70" w:rsidRDefault="00800C70" w:rsidP="003B5323">
      <w:pPr>
        <w:numPr>
          <w:ilvl w:val="0"/>
          <w:numId w:val="3"/>
        </w:numPr>
        <w:shd w:val="clear" w:color="auto" w:fill="FFFFFF"/>
        <w:tabs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дочерними или контролируемыми обществами иностранных организаций, ценные бумаги которых прошли процедуру листинга на иностранной бирже, входящей в перечень, утвержденный Банком России,</w:t>
      </w:r>
      <w:r w:rsidRPr="00800C70">
        <w:rPr>
          <w:rFonts w:ascii="Times New Roman" w:eastAsia="Calibri" w:hAnsi="Times New Roman" w:cs="Times New Roman"/>
          <w:sz w:val="20"/>
          <w:szCs w:val="24"/>
          <w:vertAlign w:val="superscript"/>
        </w:rPr>
        <w:footnoteReference w:id="1"/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либо раскрывающими информацию о владельцах на общедоступных ресурсах на ином основании;</w:t>
      </w:r>
    </w:p>
    <w:p w:rsidR="00800C70" w:rsidRPr="00800C70" w:rsidRDefault="00800C70" w:rsidP="003B5323">
      <w:pPr>
        <w:numPr>
          <w:ilvl w:val="0"/>
          <w:numId w:val="3"/>
        </w:numPr>
        <w:shd w:val="clear" w:color="auto" w:fill="FFFFFF"/>
        <w:tabs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дочерними обществами иностранных структур, организационная форма которых не предусматривает наличия бенефициарного владельца.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4.11. Для целей </w:t>
      </w:r>
      <w:r w:rsidR="00FA4EAD">
        <w:rPr>
          <w:rFonts w:ascii="Times New Roman" w:eastAsia="Calibri" w:hAnsi="Times New Roman" w:cs="Times New Roman"/>
          <w:sz w:val="24"/>
          <w:szCs w:val="24"/>
        </w:rPr>
        <w:t>финансирования Фондом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под низконалоговой юрисдикцией понимается территория, включенная в Перечень государств и территорий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(утв. Приказом Министерства финансов Российской Федерации от 13 ноября 2007 № 108н) или иной аналогичный документ, действующий на дату проведения экспертизы.</w:t>
      </w:r>
    </w:p>
    <w:p w:rsidR="00800C70" w:rsidRPr="00800C70" w:rsidRDefault="00800C70" w:rsidP="00800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Для целей </w:t>
      </w:r>
      <w:r w:rsidR="00FA4EAD">
        <w:rPr>
          <w:rFonts w:ascii="Times New Roman" w:eastAsia="Calibri" w:hAnsi="Times New Roman" w:cs="Times New Roman"/>
          <w:sz w:val="24"/>
          <w:szCs w:val="24"/>
        </w:rPr>
        <w:t>финансирования Фондом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кондуитные компании определяются с учетом официальных разъяснений Министерства финансов Российской Федерации в качестве компетентного органа по применению действующих соглашений об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избежании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двойного налогообложения.</w:t>
      </w:r>
      <w:r w:rsidRPr="00800C70">
        <w:rPr>
          <w:rFonts w:ascii="Times New Roman" w:eastAsia="Calibri" w:hAnsi="Times New Roman" w:cs="Times New Roman"/>
          <w:sz w:val="20"/>
          <w:szCs w:val="24"/>
          <w:vertAlign w:val="superscript"/>
        </w:rPr>
        <w:footnoteReference w:id="2"/>
      </w:r>
    </w:p>
    <w:p w:rsidR="00800C70" w:rsidRPr="00800C70" w:rsidRDefault="00800C70" w:rsidP="00800C70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13" w:name="_Toc472350697"/>
      <w:bookmarkStart w:id="14" w:name="_Toc424117595"/>
      <w:bookmarkStart w:id="15" w:name="_Toc437460694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Направления целевого использования средств финансирования проекта</w:t>
      </w:r>
      <w:bookmarkEnd w:id="13"/>
      <w:bookmarkEnd w:id="14"/>
      <w:bookmarkEnd w:id="15"/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5.1. Средства, полученные для финансирования проекта со стороны Фонда, могут быть направлены на реализацию следующих мероприятий: 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5.1.1. Разработка нового продукта/технологии, включая: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>опытно-конструкторские и опытно-технологические работы;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 xml:space="preserve">технические, производственно-технологические, маркетинговые тестирования и испытания; 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 xml:space="preserve">проведение патентных исследований (на патентную чистоту, выявление </w:t>
      </w:r>
      <w:proofErr w:type="spellStart"/>
      <w:r w:rsidRPr="00800C70">
        <w:rPr>
          <w:rFonts w:ascii="Times New Roman" w:eastAsia="Times New Roman" w:hAnsi="Times New Roman" w:cs="Times New Roman"/>
          <w:sz w:val="24"/>
          <w:szCs w:val="24"/>
        </w:rPr>
        <w:t>охраноспособных</w:t>
      </w:r>
      <w:proofErr w:type="spellEnd"/>
      <w:r w:rsidRPr="00800C70">
        <w:rPr>
          <w:rFonts w:ascii="Times New Roman" w:eastAsia="Times New Roman" w:hAnsi="Times New Roman" w:cs="Times New Roman"/>
          <w:sz w:val="24"/>
          <w:szCs w:val="24"/>
        </w:rPr>
        <w:t xml:space="preserve"> решений и др.), патентование разработанных решений, в </w:t>
      </w:r>
      <w:proofErr w:type="spellStart"/>
      <w:r w:rsidRPr="00800C70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800C70">
        <w:rPr>
          <w:rFonts w:ascii="Times New Roman" w:eastAsia="Times New Roman" w:hAnsi="Times New Roman" w:cs="Times New Roman"/>
          <w:sz w:val="24"/>
          <w:szCs w:val="24"/>
        </w:rPr>
        <w:t>. зарубежное патентование;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 xml:space="preserve">сертификация, клинические испытания (клинические исследования) и другие обязательные для вывода продукта на рынок контрольно-сертификационные процедуры, а также </w:t>
      </w:r>
      <w:r w:rsidRPr="00800C70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зарубежные клинические исследования и испытания фармацевтической и медицинской продукции</w:t>
      </w:r>
      <w:r w:rsidRPr="00800C7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>приобретение расходных материалов для проведения мероприятий по настоящему разделу, в том числе, сырья и ресурсов для выпуска опытных, опытно-промышленных партий, испытаний оборудования и технологии до запуска в серийное производство – в объеме до 20% от суммы займа.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5.1.2. Приобретение или использование специального оборудования для проведения необходимых опытно-конструкторских работ и отработки технологии, включая создание опытно-промышленных установок.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5.1.3. Разработка технико-экономического обоснования инвестиционной стадии проекта,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прединвестиционный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анализ и оптимизация проекта, не включая расходы на аналитические исследования рынка. Сертификация и внедрение новых методов эффективной организации производства (</w:t>
      </w:r>
      <w:r w:rsidRPr="00800C70">
        <w:rPr>
          <w:rFonts w:ascii="Times New Roman" w:eastAsia="Calibri" w:hAnsi="Times New Roman" w:cs="Times New Roman"/>
          <w:sz w:val="24"/>
          <w:szCs w:val="24"/>
          <w:lang w:val="en-US"/>
        </w:rPr>
        <w:t>ISO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9000, </w:t>
      </w:r>
      <w:r w:rsidRPr="00800C70">
        <w:rPr>
          <w:rFonts w:ascii="Times New Roman" w:eastAsia="Calibri" w:hAnsi="Times New Roman" w:cs="Times New Roman"/>
          <w:sz w:val="24"/>
          <w:szCs w:val="24"/>
          <w:lang w:val="en-US"/>
        </w:rPr>
        <w:t>LEAN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и пр.).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5.1.4. Приобретение прав на результаты интеллектуальной деятельности (лицензий и патентов) у российских или иностранных правообладателей.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5.1.5. Инжиниринг: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необходимой адаптации технологического оборудования и инженерных коммуникаций, включая разработку технической документации, для обеспечения внедрения результатов разработок в серийное производство;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>проектно-изыскательские работы, сбор исходных данных, разработка концепции строительства/ремонта зданий, сооружений, коммуникаций для организации производства;</w:t>
      </w:r>
    </w:p>
    <w:p w:rsidR="00800C70" w:rsidRPr="00800C70" w:rsidRDefault="00800C70" w:rsidP="00FA4EAD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z w:val="24"/>
          <w:szCs w:val="24"/>
        </w:rPr>
        <w:t>разработка проектной документации для объектов капитального строительства, включая проведение экологической и иных необходимых экспертиз, получение необходимых заключений санитарно-эпидемиологической, пожарной и др. служб, подготовку и получение разрешения на осуществление градостроительной деятельности.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5.1.6. Приобретение в собственность</w:t>
      </w:r>
      <w:r w:rsidRPr="00800C70">
        <w:rPr>
          <w:rFonts w:ascii="Times New Roman" w:eastAsia="Calibri" w:hAnsi="Times New Roman" w:cs="Times New Roman"/>
          <w:sz w:val="20"/>
          <w:szCs w:val="24"/>
          <w:vertAlign w:val="superscript"/>
        </w:rPr>
        <w:footnoteReference w:id="3"/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для целей технологического перевооружения и модернизации производства российского и/или импортного промышленного оборудования, а также его монтаж, наладка и иные мероприятия по его подготовке для серийного производства.</w:t>
      </w:r>
    </w:p>
    <w:p w:rsidR="00800C70" w:rsidRPr="00800C70" w:rsidRDefault="00800C70" w:rsidP="00800C70">
      <w:pPr>
        <w:shd w:val="clear" w:color="auto" w:fill="FFFFFF"/>
        <w:tabs>
          <w:tab w:val="left" w:pos="0"/>
          <w:tab w:val="left" w:pos="916"/>
          <w:tab w:val="left" w:pos="127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5.1.7. Общехозяйственные расходы по проекту – затраты на выполнение функций управления и обслуживания подразделений, реализующих проект - в объеме не более 15% от суммы займа: 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расходы на оплату труда административно-управленческого и вспомогательного персонала (дирекция, бухгалтерия, хозяйственный отдел и т.д.) и установленные законодательством начисления на указанные выплаты;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командировочные и транспортные расходы проектной команды (стоимость проезда и проживания);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арендная плата за используемое в проекте имущество общехозяйственного назначения (помещения, а также движимое имущество) и расходы по оплате услуг по его содержанию (уборка снега, мусора, вывоз твердых бытовых отходов, дезинфекция, дезинсекция, дератизация, ремонт основных средств), оплата коммунальных услуг (отопления, горячего и холодного водоснабжения и водоотведения, предоставления газа и электроэнергии), потребленных на общехозяйственные нужды;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затраты на охрану труда и противопожарные мероприятия, расходы на оплату услуг охраны, услуг по хранению имущества;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расходы на маркетинговое продвижение продукта; 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расходы по оплате информационных, аудиторских, консультационных и т.п. услуг, услуг связи, комиссий банков;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приобретение расходных материалов для оргтехники, бумаги и канцелярских принадлежностей, хозяйственного инвентаря;</w:t>
      </w:r>
    </w:p>
    <w:p w:rsidR="00800C70" w:rsidRPr="00800C70" w:rsidRDefault="00800C70" w:rsidP="00FA4EAD">
      <w:pPr>
        <w:numPr>
          <w:ilvl w:val="0"/>
          <w:numId w:val="3"/>
        </w:numPr>
        <w:shd w:val="clear" w:color="auto" w:fill="FFFFFF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уплата налогов (на имущество, транспортного, земельного) и государственной пошлины в отношении имущества, используемого в проекте, и другие аналогичные по назначению управленческие расходы.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5.2. Денежные средства, предоставленные Заявителю Фондом по договору займа, могут быть использованы исключительно на цели финансирования проекта и расходоваться на оплату труда, приобретение товаров, работ, услуг, а также уплату связанных с ними налогов и иных обязательных платежей.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Приобретение товаров, работ, услуг по ранее заключенным договорам с третьими лицами может быть оплачено за счет средств займа, в случае если завершение исполнения таких договоров приходится на период после принятия решения о финансировании Проекта и при соблюдении условий о </w:t>
      </w:r>
      <w:proofErr w:type="spellStart"/>
      <w:r w:rsidRPr="00800C70">
        <w:rPr>
          <w:rFonts w:ascii="Times New Roman" w:eastAsia="Calibri" w:hAnsi="Times New Roman" w:cs="Times New Roman"/>
          <w:sz w:val="24"/>
          <w:szCs w:val="24"/>
        </w:rPr>
        <w:t>софинансировании</w:t>
      </w:r>
      <w:proofErr w:type="spellEnd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проекта, установленных в статье 3.  </w:t>
      </w:r>
    </w:p>
    <w:p w:rsidR="00800C70" w:rsidRPr="00800C70" w:rsidRDefault="00800C70" w:rsidP="00800C7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Средства, полученные для финансирования проекта со стороны Фонда, не могут быть направлены на реализацию следующих мероприятий: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строительство или капитальный ремонт зданий, сооружений, коммуникаций для организации производства или общехозяйственного назначения;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приобретение сырья и ресурсов для выпуска промышленных партий продукции;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0"/>
          <w:tab w:val="left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рефинансирование заемных средств и погашение кредиторской задолженности и иных обязательств, возникших до даты предоставления Займа, за исключением случаев, прямо предусмотренных </w:t>
      </w:r>
      <w:r w:rsidR="00800482">
        <w:rPr>
          <w:rFonts w:ascii="Times New Roman" w:eastAsia="Calibri" w:hAnsi="Times New Roman" w:cs="Times New Roman"/>
          <w:sz w:val="24"/>
          <w:szCs w:val="24"/>
        </w:rPr>
        <w:t>Положениями Фонда</w:t>
      </w:r>
      <w:r w:rsidRPr="00800C7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00C70" w:rsidRPr="00800C70" w:rsidRDefault="00800C70" w:rsidP="003B5323">
      <w:pPr>
        <w:numPr>
          <w:ilvl w:val="0"/>
          <w:numId w:val="3"/>
        </w:numPr>
        <w:tabs>
          <w:tab w:val="left" w:pos="0"/>
          <w:tab w:val="left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уплата процентов по заемным средствам, в том числе по Займу, предоставленному Фондом для финансирования проекта.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5.3. Перераспределение средств займа между направлениями целевого использования в рамках проекта в размере суммарно (за весь период пользования займом) превышающем 10% от суммы, предусмотренной сметой проекта по соответствующему направлению целевого использования, без увеличения итоговой суммы сметы, возможно при условии обоснования изменений Заявителем и получения согласования со стороны Фонда с проведением повторной производственно-технологической и финансово-экономической экспертиз.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5.4. Оплата приобретаемых товаров (работ, услуг) за счет средств займа ключевым исполнителям, не раскрытым на момент принятия Фондом решения о предоставлении финансирования проекта, возможна при условии получения согласования платежа со стороны Фонда с обязательным проведением дополнительной производственно-технологической и юридической экспертиз ключевого исполнителя.</w:t>
      </w:r>
    </w:p>
    <w:p w:rsidR="00800C70" w:rsidRPr="00800C70" w:rsidRDefault="00800C70" w:rsidP="00800C70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16" w:name="_Toc437460695"/>
      <w:bookmarkStart w:id="17" w:name="_Toc472350698"/>
      <w:bookmarkStart w:id="18" w:name="_Toc424117596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Требования к Заявителю</w:t>
      </w:r>
      <w:bookmarkEnd w:id="16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и основным участникам проекта</w:t>
      </w:r>
      <w:bookmarkEnd w:id="17"/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6.1. Лицо, претендующее на получение денежных средств (Заявитель), должно соответствовать следующим требованиям: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являться юридическим лицом - коммерческой организацией или индивидуальным предпринимателем, получение займов для которого не запрещено действующим законодательством или уставом Заявителя; 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являться юридическим лицом или индивидуальным предпринимателем, осуществляющим деятельность в сфере промышленности на территории Московской области;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являться резидентом Российской Федерации;</w:t>
      </w:r>
      <w:r w:rsidRPr="00800C70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4"/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0C70" w:rsidRPr="00800C70" w:rsidRDefault="00800C70" w:rsidP="003B5323">
      <w:pPr>
        <w:widowControl w:val="0"/>
        <w:numPr>
          <w:ilvl w:val="0"/>
          <w:numId w:val="6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</w:pP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>не являться дочерним хозяйственным обществом</w:t>
      </w:r>
      <w:r w:rsidRPr="00800C70">
        <w:rPr>
          <w:rFonts w:ascii="Times New Roman" w:eastAsia="Times New Roman" w:hAnsi="Times New Roman" w:cs="Times New Roman"/>
          <w:spacing w:val="-6"/>
          <w:sz w:val="20"/>
          <w:szCs w:val="24"/>
          <w:vertAlign w:val="superscript"/>
          <w:lang w:eastAsia="ru-RU" w:bidi="ru-RU"/>
        </w:rPr>
        <w:footnoteReference w:id="5"/>
      </w: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юридических лиц, созданных в соответствии с законодательством иностранных государств и имеющих местонахождение в низконалоговой юрисдикции за пределами территории Российской Федерации;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</w:rPr>
        <w:t>бенефициарный владелец Заявителя не должен являться нерезидентом Российской Федерации, имеющим местонахождение (место жительства) в низконалоговой юрисдикции за пределами территории Российской Федерации;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0C70">
        <w:rPr>
          <w:rFonts w:ascii="Times New Roman" w:eastAsia="Times New Roman" w:hAnsi="Times New Roman" w:cs="Times New Roman"/>
          <w:sz w:val="24"/>
          <w:szCs w:val="24"/>
        </w:rPr>
        <w:t>раскрыть структуру собственности, предоставить список аффилированных лиц и сведения о конечных бенефициарах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на момент подачи заявки</w:t>
      </w:r>
      <w:r w:rsidRPr="00800C7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не должно находиться в процессе реорганизации (за исключением реорганизации в форме преобразования, слияния или присоединения), ликвидации или банкротства на момент подачи заявки и/или получения займа.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6.2. Заявитель, его аффилированные лица, задействованные в реализации проекта как основные участники, не должны иметь просроченную задолженность по налогам, сборам и иным обязательным платежам в бюджеты бюджетной системы Российской </w:t>
      </w: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>Федерации, задолженность по заработной плате перед работниками, просроченную задолженность перед Фондом, зафиксированных фактов несвоевременного выполнения в прошлом обязательств перед Фондом, включая обязательств по возврату заемных денежных средств или по предоставлению отчетности о целевом использовании предоставленных денежных средств.</w:t>
      </w:r>
    </w:p>
    <w:p w:rsidR="00800C70" w:rsidRPr="00800C70" w:rsidRDefault="00800C70" w:rsidP="00800C70">
      <w:pPr>
        <w:widowControl w:val="0"/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00C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Предоставление финансирования проектов Заявителям, </w:t>
      </w:r>
      <w:r w:rsidRPr="00800C70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входящим в одну Группу лиц с заемщиками, имеющими просроченную задолженность перед Фондом по займам, выданным за счет средств бюджета, осуществляется по решению Наблюдательного совета Фонда.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6.3. В случае, если между Заявителем и Фондом на дату подачи заявки действует договор (договоры) целевого займа, суммарная доля заимствований из средств целевого финансирования Фонда с учетом запрашиваемой суммы займа по вновь заявляемому проекту не должна составлять более 50% балансовой стоимости активов Заявителя на последнюю отчетную дату.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Наблюдательный совет Фонда </w:t>
      </w:r>
      <w:bookmarkStart w:id="19" w:name="_Hlk480115521"/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определяет предельный размер суммарной доли заимствований, предоставляемых из </w:t>
      </w:r>
      <w:r w:rsidRPr="00C85155">
        <w:rPr>
          <w:rFonts w:ascii="Times New Roman" w:eastAsia="Calibri" w:hAnsi="Times New Roman" w:cs="Times New Roman"/>
          <w:sz w:val="24"/>
          <w:szCs w:val="24"/>
        </w:rPr>
        <w:t>средств целевого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финансирования Фонда заявителям, входящим в одну Группу лиц. </w:t>
      </w:r>
    </w:p>
    <w:bookmarkEnd w:id="19"/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6.4. Лицо, заявленное в проекте как ключевой исполнитель, должно соответствовать следующим требованиям: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</w:rPr>
        <w:t>являться резидентом Российской Федерации</w:t>
      </w:r>
      <w:r w:rsidRPr="00800C70">
        <w:rPr>
          <w:rFonts w:ascii="Times New Roman" w:eastAsia="Times New Roman" w:hAnsi="Times New Roman" w:cs="Times New Roman"/>
          <w:spacing w:val="-6"/>
          <w:sz w:val="18"/>
          <w:vertAlign w:val="superscript"/>
        </w:rPr>
        <w:footnoteReference w:id="6"/>
      </w: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или иностранным юридическим лицом, не зарегистрированным в низконалоговой юрисдикции;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</w:rPr>
        <w:t>не должно находиться в процессе ликвидации или банкротства;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Times New Roman" w:hAnsi="Times New Roman" w:cs="Times New Roman"/>
          <w:spacing w:val="-6"/>
          <w:sz w:val="24"/>
          <w:szCs w:val="24"/>
        </w:rPr>
        <w:t>должно осуществлять деятельность, соответствующую деятельности в рамках проекта, и роли, заявленной в проекте (поставщик оборудования, инжиниринговая компания и т.п.). Компетенции такого лица должны быть подтверждены предоставленной Заявителем информацией о ранее выполненных аналогичных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работах (услугах), произведенной продукции.</w:t>
      </w:r>
    </w:p>
    <w:p w:rsidR="00800C70" w:rsidRPr="00800C70" w:rsidRDefault="00800C70" w:rsidP="00800C70">
      <w:pPr>
        <w:keepNext/>
        <w:keepLines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360" w:after="6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bookmarkStart w:id="20" w:name="_Toc437460696"/>
      <w:bookmarkStart w:id="21" w:name="_Toc472350699"/>
      <w:r w:rsidRPr="00800C70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Инструменты финансирования</w:t>
      </w:r>
      <w:bookmarkEnd w:id="18"/>
      <w:bookmarkEnd w:id="20"/>
      <w:bookmarkEnd w:id="21"/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7.1. Финансирование со стороны Фонда осуществляется путем предоставления целевого займа на условиях возмездности и возвратности.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7.2. Процентная ставка по предоставляемым целевым займам </w:t>
      </w:r>
      <w:r w:rsidRPr="00C85155">
        <w:rPr>
          <w:rFonts w:ascii="Times New Roman" w:eastAsia="Calibri" w:hAnsi="Times New Roman" w:cs="Times New Roman"/>
          <w:sz w:val="24"/>
          <w:szCs w:val="24"/>
        </w:rPr>
        <w:t>составляет 5 (Пять) процентов годовых.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7.3. Заем предоставляется на срок, не превышающий срок займа, предусмотренный условиями программы финансирования. Срок займа может быть установлен Экспертным советом более коротким, чем запрошенный Заявителем, с учетом особенностей реализации проекта и результата финансово-экономической экспертизы.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7.4. Заявитель предоставляет обеспечение возврата займа в объеме основного долга и подлежащих уплате за все время пользования займом процентов в соответствии с видами обеспеч</w:t>
      </w:r>
      <w:r w:rsidR="00800482">
        <w:rPr>
          <w:rFonts w:ascii="Times New Roman" w:eastAsia="Calibri" w:hAnsi="Times New Roman" w:cs="Times New Roman"/>
          <w:sz w:val="24"/>
          <w:szCs w:val="24"/>
        </w:rPr>
        <w:t>ения, предусмотренными Положение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м Фонда № ПФ-02-2017.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7.5. Заем предоставляется путем перечисления средств на расчетный счет в валюте Российской Федерации открытый Заявителем для обособленного учета денежных средств, предоставленных в виде займа. В случае если проектом предусмотрена закупка (поставка) импортного оборудования, сырья и комплектующих изделий, а также иных операций, осуществляемых в иностранной валюте, Заявитель открывает для обособленного учета </w:t>
      </w: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денежных средств, предоставленных в виде займа, также расчетный счет в иностранной валюте. 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Платежи с указанных счетов осуществляются Заявителем только по согласованию с Фондом в порядке, установленном соответствующими договорами.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7.6. Конвертация в иностранную валюту средств займа с целью размещения на расчетном счете и начисления процентов на остатки средств по нему запрещена, за исключением операций, осуществляемых в соответствии с валютным законодательством Российской Федерации при закупке (поставке) импортного оборудования, сырья и комплектующих изделий, а также иных операций, связанных с достижением целей предоставления указанных средств.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7.7. Заявитель вправе заключить с кредитной организацией, открывшей указанный расчетный счет в валюте Российской Федерации, соглашение о начислении процентов на остатки денежных средств по нему, при этом размер процентной ставки не может превышать уровень ставки, установленной по договору займа.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7.8. Погашение основного долга по займу осуществляется Заявителем равными ежеквартальными платежами в течение последних двух лет срока займа.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Проценты по займу уплачиваются Заявителем </w:t>
      </w:r>
      <w:r w:rsidRPr="003B5323">
        <w:rPr>
          <w:rFonts w:ascii="Times New Roman" w:eastAsia="Calibri" w:hAnsi="Times New Roman" w:cs="Times New Roman"/>
          <w:sz w:val="24"/>
          <w:szCs w:val="24"/>
        </w:rPr>
        <w:t>ежеквартально</w:t>
      </w:r>
      <w:r w:rsidRPr="00800C70">
        <w:rPr>
          <w:rFonts w:ascii="Times New Roman" w:eastAsia="Calibri" w:hAnsi="Times New Roman" w:cs="Times New Roman"/>
          <w:sz w:val="24"/>
          <w:szCs w:val="24"/>
        </w:rPr>
        <w:t>, начиная с первого квартала после выдачи займа.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Иной порядок погашения суммы займа и процентов может быть установлен Экспертным советом с учетом особенностей реализации проекта.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7.9. Проценты начисляются на сумму задолженности по основному долгу, исходя из фактического количества календарных дней в соответствующем календарном месяце и действительного числа календарных дней в году.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Проценты начисляются на сумму задолженности по основному долгу за период со дня, следующего за днем предоставления суммы займа, по дату фактического погашения задолженности по договору, но в любом случае не позднее даты окончательного погашения задолженности, а в случае полного досрочного истребования Фондом текущей задолженности по займу - не позднее даты досрочного погашения.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7.10. Заявитель имеет право досрочно погасить заем полностью или частично при условии реализации проекта.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7.11. Фонд вправе потребовать уплатить вместо процентов, указанных в п. 7.2, проценты за пользование суммой займа (или его части, соответственно) в размере двукратной ключевой ставки Банка России, действующей в период с момента выдачи займа и до момента его полного возврата Фонду: 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в случае прекращения договора по инициативе Заявителя без завершения реализации проекта (отказа от проекта), за исключением случая, когда невозможность реализации проекта возникла по независящим от Заявителя причинам;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при выявлении Фондом факта нецелевого использования Заемщиком суммы займа (или его части), а также заведомого получения займа без намерения реализации проекта</w:t>
      </w:r>
      <w:r w:rsidRPr="00800C70">
        <w:rPr>
          <w:rFonts w:ascii="Arial" w:eastAsia="Calibri" w:hAnsi="Arial" w:cs="Arial"/>
          <w:sz w:val="24"/>
          <w:szCs w:val="24"/>
        </w:rPr>
        <w:t xml:space="preserve">. </w:t>
      </w:r>
    </w:p>
    <w:p w:rsidR="00800C70" w:rsidRPr="00800C70" w:rsidRDefault="00800C70" w:rsidP="00800C70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Расчёт процентов по займу ведется с учетом изменений размера ключевой ставки Банка России, фактически действовавшей в течение периода с момента выдачи займа. </w:t>
      </w:r>
    </w:p>
    <w:p w:rsidR="00800C70" w:rsidRPr="00800C70" w:rsidRDefault="00800C70" w:rsidP="00800C70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22" w:name="_Toc471980687"/>
      <w:bookmarkStart w:id="23" w:name="_Toc472350700"/>
      <w:r w:rsidRPr="00800C70">
        <w:rPr>
          <w:rFonts w:ascii="Times New Roman" w:eastAsia="Calibri" w:hAnsi="Times New Roman" w:cs="Times New Roman"/>
          <w:sz w:val="24"/>
          <w:szCs w:val="24"/>
        </w:rPr>
        <w:t>7.12. Заявитель несет ответственность за неисполнение или ненадлежащее исполнение предусмотренных договором обязательств, включая следующие:</w:t>
      </w:r>
      <w:bookmarkEnd w:id="22"/>
      <w:bookmarkEnd w:id="23"/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 неисполнение или ненадлежащее исполнение обязательств по возврату основного долга и/или уплате процентов за пользование займом -  пени в </w:t>
      </w:r>
      <w:r w:rsidRPr="00C85155">
        <w:rPr>
          <w:rFonts w:ascii="Times New Roman" w:eastAsia="Calibri" w:hAnsi="Times New Roman" w:cs="Times New Roman"/>
          <w:sz w:val="24"/>
          <w:szCs w:val="24"/>
        </w:rPr>
        <w:t>размере 0,1%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от несвоевременно уплаченной суммы за каждый день просрочки;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в случае нарушения Заявителем установленного договором займа срока предоставления отчетов о реализации проекта и отчетов о достижении целевых показателей эффективности использования займа - пени в </w:t>
      </w:r>
      <w:r w:rsidRPr="00C85155">
        <w:rPr>
          <w:rFonts w:ascii="Times New Roman" w:eastAsia="Calibri" w:hAnsi="Times New Roman" w:cs="Times New Roman"/>
          <w:sz w:val="24"/>
          <w:szCs w:val="24"/>
        </w:rPr>
        <w:t>размере 0,001%</w:t>
      </w:r>
      <w:r w:rsidRPr="00800C70">
        <w:rPr>
          <w:rFonts w:ascii="Times New Roman" w:eastAsia="Calibri" w:hAnsi="Times New Roman" w:cs="Times New Roman"/>
          <w:sz w:val="24"/>
          <w:szCs w:val="24"/>
        </w:rPr>
        <w:t xml:space="preserve"> от суммы Займа за каждый день просрочки;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в случае нарушения Заявителем предусмотренного договором займа срока регистрации договора о предоставлении обеспечения (обременения) - пени в размере 0,001% от суммы Займа за каждый день просрочки.</w:t>
      </w:r>
    </w:p>
    <w:p w:rsidR="00800C70" w:rsidRPr="00800C70" w:rsidRDefault="00800C70" w:rsidP="003B5323">
      <w:pPr>
        <w:tabs>
          <w:tab w:val="left" w:pos="0"/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7.13. Условиями предоставления финансирования является согласие Заявителя: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представлять отчеты о ходе реализации проекта и достижении целевых показателей эффективности использования займа;</w:t>
      </w:r>
    </w:p>
    <w:p w:rsidR="00800C70" w:rsidRP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предоставлять информацию о проекте, получившем финансовую поддержку Фонда, и своей деятельности в сфере промышленности (производственная специализация, регистрационные данные, финансово-экономическое состояние, ключевые проекты, проекты импортозамещения, данные о результатах интеллектуальной деятельности) в Государственной информационной системе промышленности;</w:t>
      </w:r>
    </w:p>
    <w:p w:rsidR="00800C70" w:rsidRDefault="00800C70" w:rsidP="003B532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70">
        <w:rPr>
          <w:rFonts w:ascii="Times New Roman" w:eastAsia="Calibri" w:hAnsi="Times New Roman" w:cs="Times New Roman"/>
          <w:sz w:val="24"/>
          <w:szCs w:val="24"/>
        </w:rPr>
        <w:t>обеспечить возможность контроля Фондом действий самого Заявителя и основных участников проекта в ходе реализации проекта, целевым использованием средств займа, состоянием обеспечения и финансовым состоянием Заявителя, лиц, предоставивших обеспечение.</w:t>
      </w: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74" w:rsidRDefault="00A37A74" w:rsidP="00A37A7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155" w:rsidRDefault="00C8515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3C5" w:rsidRDefault="006643C5" w:rsidP="00C8515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4" w:name="_GoBack"/>
      <w:bookmarkEnd w:id="24"/>
    </w:p>
    <w:p w:rsidR="00C85155" w:rsidRDefault="00C85155" w:rsidP="00617FF3">
      <w:pPr>
        <w:keepNext/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bookmarkStart w:id="25" w:name="_Toc442440323"/>
      <w:bookmarkStart w:id="26" w:name="_Toc472350704"/>
    </w:p>
    <w:p w:rsidR="00617FF3" w:rsidRPr="00710DA3" w:rsidRDefault="00710DA3" w:rsidP="00617FF3">
      <w:pPr>
        <w:keepNext/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left="6521"/>
        <w:jc w:val="center"/>
        <w:textAlignment w:val="baseline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10D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 xml:space="preserve">Приложение № </w:t>
      </w:r>
      <w:bookmarkEnd w:id="25"/>
      <w:bookmarkEnd w:id="26"/>
      <w:r w:rsidR="00A37A7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1</w:t>
      </w:r>
    </w:p>
    <w:p w:rsidR="00710DA3" w:rsidRDefault="00710DA3" w:rsidP="003B5323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17FF3" w:rsidRPr="00617FF3" w:rsidRDefault="00617FF3" w:rsidP="00617F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7FF3">
        <w:rPr>
          <w:rFonts w:ascii="Times New Roman" w:eastAsia="Calibri" w:hAnsi="Times New Roman" w:cs="Times New Roman"/>
          <w:b/>
          <w:sz w:val="28"/>
          <w:szCs w:val="28"/>
        </w:rPr>
        <w:t>Перечень отраслевых направлений, в рамках которых возможно получение финансовой поддержки Фонда развития промышленности на реализацию инвестиционных проектов</w:t>
      </w:r>
    </w:p>
    <w:p w:rsidR="00617FF3" w:rsidRPr="00710DA3" w:rsidRDefault="00617FF3" w:rsidP="00617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75"/>
        <w:gridCol w:w="8079"/>
      </w:tblGrid>
      <w:tr w:rsidR="00710DA3" w:rsidRPr="00710DA3" w:rsidTr="00710DA3">
        <w:trPr>
          <w:trHeight w:val="2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Раздел C "Обрабатывающие производства"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класса</w:t>
            </w:r>
          </w:p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ОКВЭД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пищевых продуктов в части промышленных биотехнологий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текстильных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одежды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кожи и изделий из кожи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бумаги и бумажных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химических веществ и химических продуктов</w:t>
            </w:r>
          </w:p>
        </w:tc>
      </w:tr>
      <w:tr w:rsidR="00710DA3" w:rsidRPr="00710DA3" w:rsidTr="00710DA3">
        <w:trPr>
          <w:trHeight w:val="3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резиновых и пластмассовых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прочей неметаллической минеральной продукции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металлургическое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готовых металлических изделий, кроме машин и оборудования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компьютеров, электронных и оптических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электрического оборудования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машин и оборудования, не включенных в другие группировки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автотранспортных средств, прицепов и полуприцепов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прочих транспортных средств и оборудования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31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мебели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прочих готовых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Ремонт и монтаж машин и оборудования</w:t>
            </w:r>
          </w:p>
        </w:tc>
      </w:tr>
    </w:tbl>
    <w:p w:rsidR="00710DA3" w:rsidRPr="00710DA3" w:rsidRDefault="00710DA3" w:rsidP="00710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75"/>
        <w:gridCol w:w="8079"/>
      </w:tblGrid>
      <w:tr w:rsidR="00710DA3" w:rsidRPr="00710DA3" w:rsidTr="00710DA3">
        <w:trPr>
          <w:trHeight w:val="571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</w:rPr>
              <w:t>Перечень отраслевых направлений, в р</w:t>
            </w:r>
            <w:r w:rsidR="00617FF3">
              <w:rPr>
                <w:rFonts w:ascii="Times New Roman" w:eastAsia="Calibri" w:hAnsi="Times New Roman" w:cs="Times New Roman"/>
                <w:b/>
              </w:rPr>
              <w:t>амках которых не осуществляется</w:t>
            </w:r>
            <w:r w:rsidRPr="00710DA3">
              <w:rPr>
                <w:rFonts w:ascii="Times New Roman" w:eastAsia="Calibri" w:hAnsi="Times New Roman" w:cs="Times New Roman"/>
                <w:b/>
              </w:rPr>
              <w:t xml:space="preserve"> финансовая поддержка Фондом развития промышленности на реализацию инвестиционных проектов</w:t>
            </w:r>
            <w:r w:rsidRPr="00710DA3">
              <w:rPr>
                <w:rFonts w:ascii="Times New Roman" w:eastAsia="MS Gothic" w:hAnsi="Times New Roman" w:cs="Times New Roman"/>
                <w:i/>
                <w:color w:val="000000"/>
                <w:vertAlign w:val="superscript"/>
              </w:rPr>
              <w:footnoteReference w:id="7"/>
            </w:r>
          </w:p>
        </w:tc>
      </w:tr>
      <w:tr w:rsidR="00710DA3" w:rsidRPr="00710DA3" w:rsidTr="00710DA3">
        <w:trPr>
          <w:trHeight w:val="2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Раздел C "Обрабатывающие производства"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№ класса </w:t>
            </w:r>
            <w:proofErr w:type="spellStart"/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ОКВЭД.код</w:t>
            </w:r>
            <w:proofErr w:type="spellEnd"/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пищевых продуктов (за исключением промышленных биотехнологий)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напитков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710DA3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табачных изделий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Деятельность полиграфическая и копирование носителей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кокса и нефтепродуктов</w:t>
            </w:r>
          </w:p>
        </w:tc>
      </w:tr>
      <w:tr w:rsidR="00710DA3" w:rsidRPr="00710DA3" w:rsidTr="00710DA3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DA3" w:rsidRPr="00710DA3" w:rsidRDefault="00710DA3" w:rsidP="0071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24.46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color w:val="000000"/>
              </w:rPr>
              <w:t>Производство ядерного топлива</w:t>
            </w:r>
          </w:p>
        </w:tc>
      </w:tr>
      <w:tr w:rsidR="00710DA3" w:rsidRPr="00710DA3" w:rsidTr="00710DA3">
        <w:trPr>
          <w:trHeight w:val="2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Раздел B "Добыча полезных ископаемых"</w:t>
            </w:r>
          </w:p>
        </w:tc>
      </w:tr>
      <w:tr w:rsidR="00710DA3" w:rsidRPr="00710DA3" w:rsidTr="00710DA3">
        <w:trPr>
          <w:trHeight w:val="2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DA3" w:rsidRPr="00710DA3" w:rsidRDefault="00710DA3" w:rsidP="00710D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Раздел D "Обеспечение электрической энергией, газом и паром; кондиционирование воздуха"</w:t>
            </w:r>
          </w:p>
        </w:tc>
      </w:tr>
      <w:tr w:rsidR="00710DA3" w:rsidRPr="00710DA3" w:rsidTr="00710DA3">
        <w:trPr>
          <w:trHeight w:val="2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DA3" w:rsidRPr="00710DA3" w:rsidRDefault="00710DA3" w:rsidP="00710DA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710DA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Раздел E "Водоснабжение; водоотведение, организация сбора и утилизации отходов, деятельность по ликвидации загрязнений"</w:t>
            </w:r>
          </w:p>
        </w:tc>
      </w:tr>
    </w:tbl>
    <w:p w:rsidR="005225C2" w:rsidRDefault="005225C2"/>
    <w:sectPr w:rsidR="00522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67" w:rsidRDefault="00893C67" w:rsidP="00800C70">
      <w:pPr>
        <w:spacing w:after="0" w:line="240" w:lineRule="auto"/>
      </w:pPr>
      <w:r>
        <w:separator/>
      </w:r>
    </w:p>
  </w:endnote>
  <w:endnote w:type="continuationSeparator" w:id="0">
    <w:p w:rsidR="00893C67" w:rsidRDefault="00893C67" w:rsidP="0080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67" w:rsidRDefault="00893C67" w:rsidP="00800C70">
      <w:pPr>
        <w:spacing w:after="0" w:line="240" w:lineRule="auto"/>
      </w:pPr>
      <w:r>
        <w:separator/>
      </w:r>
    </w:p>
  </w:footnote>
  <w:footnote w:type="continuationSeparator" w:id="0">
    <w:p w:rsidR="00893C67" w:rsidRDefault="00893C67" w:rsidP="00800C70">
      <w:pPr>
        <w:spacing w:after="0" w:line="240" w:lineRule="auto"/>
      </w:pPr>
      <w:r>
        <w:continuationSeparator/>
      </w:r>
    </w:p>
  </w:footnote>
  <w:footnote w:id="1">
    <w:p w:rsidR="00710DA3" w:rsidRPr="00C617E0" w:rsidRDefault="00710DA3" w:rsidP="00800C7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C617E0">
        <w:rPr>
          <w:rStyle w:val="a8"/>
          <w:rFonts w:ascii="Times New Roman" w:hAnsi="Times New Roman"/>
        </w:rPr>
        <w:footnoteRef/>
      </w:r>
      <w:r w:rsidRPr="00C617E0">
        <w:rPr>
          <w:rFonts w:ascii="Times New Roman" w:hAnsi="Times New Roman" w:cs="Times New Roman"/>
        </w:rPr>
        <w:t xml:space="preserve">  </w:t>
      </w:r>
      <w:r w:rsidRPr="00C617E0">
        <w:rPr>
          <w:rFonts w:ascii="Times New Roman" w:hAnsi="Times New Roman" w:cs="Times New Roman"/>
          <w:sz w:val="18"/>
          <w:szCs w:val="18"/>
        </w:rPr>
        <w:t>Указание Банка России от 28.01.2016 № 3949-У "Об утверждении перечня иностранных бирж, прохождение процедуры листинга на которых является обязательным условием для принятия Российской биржей решения о допуске ценных бумаг иностранных эмитентов к организованным торгам, а также условием для непроведения организациями, осуществляющими операции с денежными средствами или иным имуществом, идентификации бенефициарных владельцев иностранных организаций, чьи ценные бумаги прошли процедуру листинга на таких биржах" (или иные аналогичные указания).</w:t>
      </w:r>
    </w:p>
  </w:footnote>
  <w:footnote w:id="2">
    <w:p w:rsidR="00710DA3" w:rsidRPr="008C0999" w:rsidRDefault="00710DA3" w:rsidP="00800C70">
      <w:pPr>
        <w:pStyle w:val="16"/>
        <w:ind w:firstLine="567"/>
        <w:rPr>
          <w:sz w:val="22"/>
          <w:szCs w:val="22"/>
        </w:rPr>
      </w:pPr>
      <w:r w:rsidRPr="00C617E0">
        <w:rPr>
          <w:rFonts w:ascii="Times New Roman" w:hAnsi="Times New Roman" w:cs="Times New Roman"/>
          <w:sz w:val="22"/>
          <w:szCs w:val="22"/>
          <w:vertAlign w:val="superscript"/>
        </w:rPr>
        <w:footnoteRef/>
      </w:r>
      <w:r w:rsidRPr="00C617E0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C617E0">
        <w:rPr>
          <w:rFonts w:ascii="Times New Roman" w:hAnsi="Times New Roman" w:cs="Times New Roman"/>
          <w:sz w:val="22"/>
          <w:szCs w:val="22"/>
        </w:rPr>
        <w:t xml:space="preserve"> </w:t>
      </w:r>
      <w:r w:rsidRPr="00C617E0">
        <w:rPr>
          <w:rFonts w:ascii="Times New Roman" w:hAnsi="Times New Roman" w:cs="Times New Roman"/>
          <w:sz w:val="18"/>
          <w:szCs w:val="18"/>
        </w:rPr>
        <w:t>Письмо Минфина России от 9 апреля 2014 г. № 03-00-РЗ/16236 (и иные аналогичные разъяснения).</w:t>
      </w:r>
    </w:p>
  </w:footnote>
  <w:footnote w:id="3">
    <w:p w:rsidR="00710DA3" w:rsidRPr="00C617E0" w:rsidRDefault="00710DA3" w:rsidP="00800C70">
      <w:pPr>
        <w:pStyle w:val="16"/>
        <w:ind w:firstLine="567"/>
        <w:rPr>
          <w:rFonts w:ascii="Times New Roman" w:hAnsi="Times New Roman" w:cs="Times New Roman"/>
        </w:rPr>
      </w:pPr>
      <w:r w:rsidRPr="00C617E0">
        <w:rPr>
          <w:rStyle w:val="a8"/>
          <w:rFonts w:ascii="Times New Roman" w:hAnsi="Times New Roman"/>
        </w:rPr>
        <w:footnoteRef/>
      </w:r>
      <w:r w:rsidRPr="00C617E0">
        <w:rPr>
          <w:rFonts w:ascii="Times New Roman" w:hAnsi="Times New Roman" w:cs="Times New Roman"/>
        </w:rPr>
        <w:t xml:space="preserve">  </w:t>
      </w:r>
      <w:r w:rsidRPr="00C617E0">
        <w:rPr>
          <w:rFonts w:ascii="Times New Roman" w:hAnsi="Times New Roman" w:cs="Times New Roman"/>
          <w:sz w:val="18"/>
          <w:szCs w:val="18"/>
        </w:rPr>
        <w:t>За исключением приобретения промышленного оборудования по договорам финансовой аренды (лизинга).</w:t>
      </w:r>
    </w:p>
  </w:footnote>
  <w:footnote w:id="4">
    <w:p w:rsidR="00710DA3" w:rsidRPr="00EE113B" w:rsidRDefault="00710DA3" w:rsidP="00800C70">
      <w:pPr>
        <w:pStyle w:val="16"/>
        <w:ind w:firstLine="709"/>
        <w:rPr>
          <w:rFonts w:ascii="Times New Roman" w:hAnsi="Times New Roman" w:cs="Times New Roman"/>
        </w:rPr>
      </w:pPr>
      <w:r w:rsidRPr="00E54A51">
        <w:rPr>
          <w:rStyle w:val="a8"/>
          <w:sz w:val="22"/>
          <w:szCs w:val="22"/>
        </w:rPr>
        <w:footnoteRef/>
      </w:r>
      <w:r w:rsidRPr="00E54A51">
        <w:rPr>
          <w:rStyle w:val="a8"/>
          <w:sz w:val="22"/>
          <w:szCs w:val="22"/>
        </w:rPr>
        <w:t xml:space="preserve"> </w:t>
      </w:r>
      <w:r w:rsidRPr="00EE113B">
        <w:rPr>
          <w:rFonts w:ascii="Times New Roman" w:hAnsi="Times New Roman" w:cs="Times New Roman"/>
          <w:sz w:val="18"/>
          <w:szCs w:val="18"/>
        </w:rPr>
        <w:t>Здесь и далее определяется в соответствии с законодательством о валютном регулировании и валютном контроле.</w:t>
      </w:r>
    </w:p>
  </w:footnote>
  <w:footnote w:id="5">
    <w:p w:rsidR="00710DA3" w:rsidRPr="00BB702D" w:rsidRDefault="00710DA3" w:rsidP="00800C70">
      <w:pPr>
        <w:pStyle w:val="16"/>
        <w:ind w:firstLine="709"/>
        <w:rPr>
          <w:rStyle w:val="a8"/>
          <w:rFonts w:ascii="Arial" w:hAnsi="Arial" w:cs="Arial"/>
        </w:rPr>
      </w:pPr>
      <w:r w:rsidRPr="00EE113B">
        <w:rPr>
          <w:rStyle w:val="a8"/>
          <w:rFonts w:ascii="Times New Roman" w:hAnsi="Times New Roman"/>
        </w:rPr>
        <w:footnoteRef/>
      </w:r>
      <w:r w:rsidRPr="00EE113B">
        <w:rPr>
          <w:rFonts w:ascii="Times New Roman" w:hAnsi="Times New Roman" w:cs="Times New Roman"/>
        </w:rPr>
        <w:t xml:space="preserve"> </w:t>
      </w:r>
      <w:r w:rsidRPr="00EE113B">
        <w:rPr>
          <w:rFonts w:ascii="Times New Roman" w:hAnsi="Times New Roman" w:cs="Times New Roman"/>
          <w:sz w:val="18"/>
          <w:szCs w:val="18"/>
        </w:rPr>
        <w:t>Определяется в соответствии с ч.1 ст. 67.3 Гражданского кодекса Российской Федерации</w:t>
      </w:r>
      <w:r w:rsidRPr="00D13F77">
        <w:rPr>
          <w:rFonts w:ascii="Arial" w:hAnsi="Arial" w:cs="Arial"/>
          <w:sz w:val="18"/>
          <w:szCs w:val="18"/>
        </w:rPr>
        <w:t>.</w:t>
      </w:r>
    </w:p>
  </w:footnote>
  <w:footnote w:id="6">
    <w:p w:rsidR="00710DA3" w:rsidRPr="00EE5540" w:rsidRDefault="00710DA3" w:rsidP="00800C70">
      <w:pPr>
        <w:pStyle w:val="16"/>
        <w:ind w:firstLine="709"/>
        <w:rPr>
          <w:rStyle w:val="a8"/>
          <w:rFonts w:ascii="Times New Roman" w:hAnsi="Times New Roman"/>
        </w:rPr>
      </w:pPr>
      <w:r w:rsidRPr="00EE5540">
        <w:rPr>
          <w:rStyle w:val="a8"/>
          <w:rFonts w:ascii="Times New Roman" w:hAnsi="Times New Roman"/>
        </w:rPr>
        <w:footnoteRef/>
      </w:r>
      <w:r w:rsidRPr="00EE5540">
        <w:rPr>
          <w:rFonts w:ascii="Times New Roman" w:hAnsi="Times New Roman" w:cs="Times New Roman"/>
        </w:rPr>
        <w:t xml:space="preserve"> </w:t>
      </w:r>
      <w:r w:rsidRPr="00C85155">
        <w:rPr>
          <w:rFonts w:ascii="Times New Roman" w:hAnsi="Times New Roman" w:cs="Times New Roman"/>
          <w:sz w:val="18"/>
          <w:szCs w:val="18"/>
        </w:rPr>
        <w:t>Определяется в соответствии с законодательством о валютном регулировании и валютном контроле.</w:t>
      </w:r>
    </w:p>
  </w:footnote>
  <w:footnote w:id="7">
    <w:p w:rsidR="00710DA3" w:rsidRPr="00D915AE" w:rsidRDefault="00710DA3" w:rsidP="00710DA3">
      <w:pPr>
        <w:pStyle w:val="a6"/>
        <w:rPr>
          <w:rFonts w:ascii="Times New Roman" w:eastAsia="Times New Roman" w:hAnsi="Times New Roman" w:cs="Times New Roman"/>
        </w:rPr>
      </w:pPr>
      <w:r w:rsidRPr="00710DA3">
        <w:rPr>
          <w:rStyle w:val="a8"/>
          <w:rFonts w:ascii="Times New Roman" w:eastAsia="MS Gothic" w:hAnsi="Times New Roman"/>
        </w:rPr>
        <w:footnoteRef/>
      </w:r>
      <w:r w:rsidRPr="00D915AE">
        <w:rPr>
          <w:rFonts w:ascii="Times New Roman" w:hAnsi="Times New Roman" w:cs="Times New Roman"/>
        </w:rPr>
        <w:t xml:space="preserve"> </w:t>
      </w:r>
      <w:r w:rsidRPr="00D915AE">
        <w:rPr>
          <w:rFonts w:ascii="Times New Roman" w:hAnsi="Times New Roman" w:cs="Times New Roman"/>
          <w:sz w:val="18"/>
          <w:szCs w:val="18"/>
        </w:rPr>
        <w:t>Из отнесенных к промышленной деятельности в соответствии со статьей 3 Федерального закона Российской Федерации от 31.12.2014 № 488-ФЗ "О промышленной политике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895"/>
    <w:multiLevelType w:val="hybridMultilevel"/>
    <w:tmpl w:val="0CFC5AE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47D59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757CE"/>
    <w:multiLevelType w:val="multilevel"/>
    <w:tmpl w:val="A3321D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186C0C"/>
    <w:multiLevelType w:val="multilevel"/>
    <w:tmpl w:val="CACA2D7C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4A5B87"/>
    <w:multiLevelType w:val="hybridMultilevel"/>
    <w:tmpl w:val="4D5894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9E3419"/>
    <w:multiLevelType w:val="hybridMultilevel"/>
    <w:tmpl w:val="9F365274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993AFA"/>
    <w:multiLevelType w:val="hybridMultilevel"/>
    <w:tmpl w:val="992CAF5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4A685C"/>
    <w:multiLevelType w:val="multilevel"/>
    <w:tmpl w:val="999C6A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165A3914"/>
    <w:multiLevelType w:val="hybridMultilevel"/>
    <w:tmpl w:val="19809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F00010"/>
    <w:multiLevelType w:val="hybridMultilevel"/>
    <w:tmpl w:val="F93AC7B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D7248FA"/>
    <w:multiLevelType w:val="multilevel"/>
    <w:tmpl w:val="D5CC745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DC07FBA"/>
    <w:multiLevelType w:val="hybridMultilevel"/>
    <w:tmpl w:val="A788A570"/>
    <w:lvl w:ilvl="0" w:tplc="42AE9746">
      <w:start w:val="1"/>
      <w:numFmt w:val="decimal"/>
      <w:pStyle w:val="2"/>
      <w:lvlText w:val="Приложение № %1."/>
      <w:lvlJc w:val="left"/>
      <w:pPr>
        <w:tabs>
          <w:tab w:val="num" w:pos="3261"/>
        </w:tabs>
        <w:ind w:left="3261" w:hanging="2268"/>
      </w:pPr>
      <w:rPr>
        <w:rFonts w:ascii="Times New Roman" w:hAnsi="Times New Roman" w:hint="default"/>
        <w:b/>
        <w:i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 w15:restartNumberingAfterBreak="0">
    <w:nsid w:val="1EE032E1"/>
    <w:multiLevelType w:val="hybridMultilevel"/>
    <w:tmpl w:val="1F4275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332803"/>
    <w:multiLevelType w:val="hybridMultilevel"/>
    <w:tmpl w:val="75A22DDE"/>
    <w:lvl w:ilvl="0" w:tplc="0419000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 w15:restartNumberingAfterBreak="0">
    <w:nsid w:val="20AC1A87"/>
    <w:multiLevelType w:val="multilevel"/>
    <w:tmpl w:val="452AC3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229D07EB"/>
    <w:multiLevelType w:val="multilevel"/>
    <w:tmpl w:val="FEF2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6170F4"/>
    <w:multiLevelType w:val="multilevel"/>
    <w:tmpl w:val="07DE308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242B45F2"/>
    <w:multiLevelType w:val="multilevel"/>
    <w:tmpl w:val="3F480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5891FEA"/>
    <w:multiLevelType w:val="multilevel"/>
    <w:tmpl w:val="1A129A84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2ABF209C"/>
    <w:multiLevelType w:val="multilevel"/>
    <w:tmpl w:val="7A4E69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2DB5335B"/>
    <w:multiLevelType w:val="hybridMultilevel"/>
    <w:tmpl w:val="BC8CF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13B6083"/>
    <w:multiLevelType w:val="hybridMultilevel"/>
    <w:tmpl w:val="78FA9C56"/>
    <w:lvl w:ilvl="0" w:tplc="04190019">
      <w:start w:val="1"/>
      <w:numFmt w:val="lowerLetter"/>
      <w:lvlText w:val="%1."/>
      <w:lvlJc w:val="left"/>
      <w:pPr>
        <w:ind w:left="222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 w15:restartNumberingAfterBreak="0">
    <w:nsid w:val="32826DE0"/>
    <w:multiLevelType w:val="hybridMultilevel"/>
    <w:tmpl w:val="76E48556"/>
    <w:lvl w:ilvl="0" w:tplc="72AA4C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4282F61"/>
    <w:multiLevelType w:val="hybridMultilevel"/>
    <w:tmpl w:val="D5DCDFA8"/>
    <w:lvl w:ilvl="0" w:tplc="61A45E0C">
      <w:start w:val="1"/>
      <w:numFmt w:val="bullet"/>
      <w:lvlText w:val=""/>
      <w:lvlJc w:val="left"/>
      <w:pPr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363301F7"/>
    <w:multiLevelType w:val="multilevel"/>
    <w:tmpl w:val="FBC8DA26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78C2BF6"/>
    <w:multiLevelType w:val="multilevel"/>
    <w:tmpl w:val="906887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9401A42"/>
    <w:multiLevelType w:val="hybridMultilevel"/>
    <w:tmpl w:val="09AA40A4"/>
    <w:lvl w:ilvl="0" w:tplc="04190019">
      <w:start w:val="1"/>
      <w:numFmt w:val="lowerLetter"/>
      <w:lvlText w:val="%1."/>
      <w:lvlJc w:val="left"/>
      <w:pPr>
        <w:ind w:left="222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3B7D67A4"/>
    <w:multiLevelType w:val="hybridMultilevel"/>
    <w:tmpl w:val="B6C63EF6"/>
    <w:lvl w:ilvl="0" w:tplc="5B7897BA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96" w:hanging="360"/>
      </w:pPr>
    </w:lvl>
    <w:lvl w:ilvl="2" w:tplc="0419001B" w:tentative="1">
      <w:start w:val="1"/>
      <w:numFmt w:val="lowerRoman"/>
      <w:lvlText w:val="%3."/>
      <w:lvlJc w:val="right"/>
      <w:pPr>
        <w:ind w:left="4116" w:hanging="180"/>
      </w:pPr>
    </w:lvl>
    <w:lvl w:ilvl="3" w:tplc="0419000F" w:tentative="1">
      <w:start w:val="1"/>
      <w:numFmt w:val="decimal"/>
      <w:lvlText w:val="%4."/>
      <w:lvlJc w:val="left"/>
      <w:pPr>
        <w:ind w:left="4836" w:hanging="360"/>
      </w:pPr>
    </w:lvl>
    <w:lvl w:ilvl="4" w:tplc="04190019" w:tentative="1">
      <w:start w:val="1"/>
      <w:numFmt w:val="lowerLetter"/>
      <w:lvlText w:val="%5."/>
      <w:lvlJc w:val="left"/>
      <w:pPr>
        <w:ind w:left="5556" w:hanging="360"/>
      </w:pPr>
    </w:lvl>
    <w:lvl w:ilvl="5" w:tplc="0419001B" w:tentative="1">
      <w:start w:val="1"/>
      <w:numFmt w:val="lowerRoman"/>
      <w:lvlText w:val="%6."/>
      <w:lvlJc w:val="right"/>
      <w:pPr>
        <w:ind w:left="6276" w:hanging="180"/>
      </w:pPr>
    </w:lvl>
    <w:lvl w:ilvl="6" w:tplc="0419000F" w:tentative="1">
      <w:start w:val="1"/>
      <w:numFmt w:val="decimal"/>
      <w:lvlText w:val="%7."/>
      <w:lvlJc w:val="left"/>
      <w:pPr>
        <w:ind w:left="6996" w:hanging="360"/>
      </w:pPr>
    </w:lvl>
    <w:lvl w:ilvl="7" w:tplc="04190019" w:tentative="1">
      <w:start w:val="1"/>
      <w:numFmt w:val="lowerLetter"/>
      <w:lvlText w:val="%8."/>
      <w:lvlJc w:val="left"/>
      <w:pPr>
        <w:ind w:left="7716" w:hanging="360"/>
      </w:pPr>
    </w:lvl>
    <w:lvl w:ilvl="8" w:tplc="0419001B" w:tentative="1">
      <w:start w:val="1"/>
      <w:numFmt w:val="lowerRoman"/>
      <w:lvlText w:val="%9."/>
      <w:lvlJc w:val="right"/>
      <w:pPr>
        <w:ind w:left="8436" w:hanging="180"/>
      </w:pPr>
    </w:lvl>
  </w:abstractNum>
  <w:abstractNum w:abstractNumId="28" w15:restartNumberingAfterBreak="0">
    <w:nsid w:val="3B811457"/>
    <w:multiLevelType w:val="hybridMultilevel"/>
    <w:tmpl w:val="F38AB3C6"/>
    <w:lvl w:ilvl="0" w:tplc="04190019">
      <w:start w:val="1"/>
      <w:numFmt w:val="lowerLetter"/>
      <w:lvlText w:val="%1."/>
      <w:lvlJc w:val="left"/>
      <w:pPr>
        <w:ind w:left="222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418C6BB9"/>
    <w:multiLevelType w:val="multilevel"/>
    <w:tmpl w:val="EA8821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ind w:left="495" w:hanging="495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 w:hint="default"/>
        <w:color w:val="auto"/>
      </w:rPr>
    </w:lvl>
  </w:abstractNum>
  <w:abstractNum w:abstractNumId="30" w15:restartNumberingAfterBreak="0">
    <w:nsid w:val="45021FE4"/>
    <w:multiLevelType w:val="multilevel"/>
    <w:tmpl w:val="452AC3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 w15:restartNumberingAfterBreak="0">
    <w:nsid w:val="4BFA6C31"/>
    <w:multiLevelType w:val="multilevel"/>
    <w:tmpl w:val="D604DD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52E13DAE"/>
    <w:multiLevelType w:val="hybridMultilevel"/>
    <w:tmpl w:val="FE1E6004"/>
    <w:lvl w:ilvl="0" w:tplc="875080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4396008"/>
    <w:multiLevelType w:val="hybridMultilevel"/>
    <w:tmpl w:val="73529616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B74D5"/>
    <w:multiLevelType w:val="hybridMultilevel"/>
    <w:tmpl w:val="AA0E60A2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8394974"/>
    <w:multiLevelType w:val="multilevel"/>
    <w:tmpl w:val="590EE4A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A5F3747"/>
    <w:multiLevelType w:val="hybridMultilevel"/>
    <w:tmpl w:val="44C48DA2"/>
    <w:lvl w:ilvl="0" w:tplc="0419000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7" w15:restartNumberingAfterBreak="0">
    <w:nsid w:val="5B865D57"/>
    <w:multiLevelType w:val="hybridMultilevel"/>
    <w:tmpl w:val="49B64C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03641EF"/>
    <w:multiLevelType w:val="multilevel"/>
    <w:tmpl w:val="590EE4A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48214FA"/>
    <w:multiLevelType w:val="multilevel"/>
    <w:tmpl w:val="83749A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52C22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6324D13"/>
    <w:multiLevelType w:val="multilevel"/>
    <w:tmpl w:val="02A25F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495" w:hanging="495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 w:hint="default"/>
        <w:color w:val="auto"/>
      </w:rPr>
    </w:lvl>
  </w:abstractNum>
  <w:abstractNum w:abstractNumId="42" w15:restartNumberingAfterBreak="0">
    <w:nsid w:val="69CB5800"/>
    <w:multiLevelType w:val="multilevel"/>
    <w:tmpl w:val="7046A34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5B5EE7"/>
    <w:multiLevelType w:val="multilevel"/>
    <w:tmpl w:val="02A25F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1346" w:hanging="495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 w:hint="default"/>
        <w:color w:val="auto"/>
      </w:rPr>
    </w:lvl>
  </w:abstractNum>
  <w:abstractNum w:abstractNumId="44" w15:restartNumberingAfterBreak="0">
    <w:nsid w:val="7E1122C2"/>
    <w:multiLevelType w:val="multilevel"/>
    <w:tmpl w:val="336CFF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11"/>
  </w:num>
  <w:num w:numId="3">
    <w:abstractNumId w:val="9"/>
  </w:num>
  <w:num w:numId="4">
    <w:abstractNumId w:val="14"/>
  </w:num>
  <w:num w:numId="5">
    <w:abstractNumId w:val="39"/>
  </w:num>
  <w:num w:numId="6">
    <w:abstractNumId w:val="36"/>
  </w:num>
  <w:num w:numId="7">
    <w:abstractNumId w:val="17"/>
  </w:num>
  <w:num w:numId="8">
    <w:abstractNumId w:val="30"/>
  </w:num>
  <w:num w:numId="9">
    <w:abstractNumId w:val="18"/>
  </w:num>
  <w:num w:numId="10">
    <w:abstractNumId w:val="7"/>
  </w:num>
  <w:num w:numId="11">
    <w:abstractNumId w:val="19"/>
  </w:num>
  <w:num w:numId="12">
    <w:abstractNumId w:val="24"/>
  </w:num>
  <w:num w:numId="13">
    <w:abstractNumId w:val="23"/>
  </w:num>
  <w:num w:numId="14">
    <w:abstractNumId w:val="0"/>
  </w:num>
  <w:num w:numId="15">
    <w:abstractNumId w:val="20"/>
  </w:num>
  <w:num w:numId="16">
    <w:abstractNumId w:val="42"/>
  </w:num>
  <w:num w:numId="17">
    <w:abstractNumId w:val="12"/>
  </w:num>
  <w:num w:numId="18">
    <w:abstractNumId w:val="44"/>
  </w:num>
  <w:num w:numId="19">
    <w:abstractNumId w:val="38"/>
  </w:num>
  <w:num w:numId="20">
    <w:abstractNumId w:val="2"/>
  </w:num>
  <w:num w:numId="21">
    <w:abstractNumId w:val="27"/>
  </w:num>
  <w:num w:numId="22">
    <w:abstractNumId w:val="32"/>
  </w:num>
  <w:num w:numId="23">
    <w:abstractNumId w:val="35"/>
  </w:num>
  <w:num w:numId="24">
    <w:abstractNumId w:val="34"/>
  </w:num>
  <w:num w:numId="25">
    <w:abstractNumId w:val="5"/>
  </w:num>
  <w:num w:numId="26">
    <w:abstractNumId w:val="21"/>
  </w:num>
  <w:num w:numId="27">
    <w:abstractNumId w:val="26"/>
  </w:num>
  <w:num w:numId="28">
    <w:abstractNumId w:val="13"/>
  </w:num>
  <w:num w:numId="29">
    <w:abstractNumId w:val="28"/>
  </w:num>
  <w:num w:numId="30">
    <w:abstractNumId w:val="37"/>
  </w:num>
  <w:num w:numId="31">
    <w:abstractNumId w:val="25"/>
  </w:num>
  <w:num w:numId="32">
    <w:abstractNumId w:val="43"/>
  </w:num>
  <w:num w:numId="33">
    <w:abstractNumId w:val="29"/>
  </w:num>
  <w:num w:numId="34">
    <w:abstractNumId w:val="22"/>
  </w:num>
  <w:num w:numId="35">
    <w:abstractNumId w:val="41"/>
  </w:num>
  <w:num w:numId="36">
    <w:abstractNumId w:val="6"/>
  </w:num>
  <w:num w:numId="37">
    <w:abstractNumId w:val="3"/>
  </w:num>
  <w:num w:numId="38">
    <w:abstractNumId w:val="8"/>
  </w:num>
  <w:num w:numId="39">
    <w:abstractNumId w:val="40"/>
  </w:num>
  <w:num w:numId="40">
    <w:abstractNumId w:val="1"/>
  </w:num>
  <w:num w:numId="41">
    <w:abstractNumId w:val="16"/>
  </w:num>
  <w:num w:numId="42">
    <w:abstractNumId w:val="31"/>
  </w:num>
  <w:num w:numId="43">
    <w:abstractNumId w:val="10"/>
  </w:num>
  <w:num w:numId="44">
    <w:abstractNumId w:val="1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70"/>
    <w:rsid w:val="00173495"/>
    <w:rsid w:val="003828B3"/>
    <w:rsid w:val="003B5323"/>
    <w:rsid w:val="005225C2"/>
    <w:rsid w:val="00550F88"/>
    <w:rsid w:val="005F6C85"/>
    <w:rsid w:val="00617FF3"/>
    <w:rsid w:val="006643C5"/>
    <w:rsid w:val="00710DA3"/>
    <w:rsid w:val="00800482"/>
    <w:rsid w:val="00800C70"/>
    <w:rsid w:val="00893C67"/>
    <w:rsid w:val="009E1051"/>
    <w:rsid w:val="00A37A74"/>
    <w:rsid w:val="00C85155"/>
    <w:rsid w:val="00FA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0FFB"/>
  <w15:chartTrackingRefBased/>
  <w15:docId w15:val="{7AAC0A75-9A66-4FFC-9428-F5F2C432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21"/>
    <w:link w:val="10"/>
    <w:qFormat/>
    <w:rsid w:val="00800C70"/>
    <w:pPr>
      <w:keepNext/>
      <w:keepLines/>
      <w:widowControl w:val="0"/>
      <w:overflowPunct w:val="0"/>
      <w:autoSpaceDE w:val="0"/>
      <w:autoSpaceDN w:val="0"/>
      <w:adjustRightInd w:val="0"/>
      <w:spacing w:before="360" w:after="6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1">
    <w:name w:val="heading 2"/>
    <w:basedOn w:val="a"/>
    <w:link w:val="22"/>
    <w:qFormat/>
    <w:rsid w:val="00800C70"/>
    <w:pPr>
      <w:widowControl w:val="0"/>
      <w:tabs>
        <w:tab w:val="left" w:pos="397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link w:val="3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C70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2">
    <w:name w:val="Заголовок 2 Знак"/>
    <w:basedOn w:val="a0"/>
    <w:link w:val="21"/>
    <w:rsid w:val="00800C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00C7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0C70"/>
  </w:style>
  <w:style w:type="table" w:customStyle="1" w:styleId="12">
    <w:name w:val="Сетка таблицы1"/>
    <w:basedOn w:val="a1"/>
    <w:next w:val="a3"/>
    <w:uiPriority w:val="59"/>
    <w:rsid w:val="00800C7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next w:val="a4"/>
    <w:qFormat/>
    <w:rsid w:val="00800C70"/>
    <w:pPr>
      <w:spacing w:after="0" w:line="240" w:lineRule="auto"/>
      <w:ind w:left="720"/>
      <w:contextualSpacing/>
      <w:jc w:val="both"/>
    </w:pPr>
  </w:style>
  <w:style w:type="paragraph" w:styleId="a5">
    <w:name w:val="Normal (Web)"/>
    <w:basedOn w:val="a"/>
    <w:uiPriority w:val="99"/>
    <w:rsid w:val="00800C7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00C70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4">
    <w:name w:val="Текст 1"/>
    <w:basedOn w:val="21"/>
    <w:link w:val="15"/>
    <w:rsid w:val="00800C70"/>
    <w:pPr>
      <w:spacing w:after="60"/>
    </w:pPr>
    <w:rPr>
      <w:b w:val="0"/>
      <w:szCs w:val="22"/>
    </w:rPr>
  </w:style>
  <w:style w:type="paragraph" w:styleId="31">
    <w:name w:val="List 3"/>
    <w:basedOn w:val="23"/>
    <w:rsid w:val="00800C70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0" w:firstLine="0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">
    <w:name w:val="Текст 1 Знак"/>
    <w:link w:val="14"/>
    <w:rsid w:val="00800C7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0">
    <w:name w:val="Список 21"/>
    <w:basedOn w:val="a"/>
    <w:next w:val="23"/>
    <w:uiPriority w:val="99"/>
    <w:semiHidden/>
    <w:unhideWhenUsed/>
    <w:rsid w:val="00800C70"/>
    <w:pPr>
      <w:spacing w:after="0" w:line="240" w:lineRule="auto"/>
      <w:ind w:left="566" w:hanging="283"/>
      <w:contextualSpacing/>
      <w:jc w:val="both"/>
    </w:pPr>
  </w:style>
  <w:style w:type="paragraph" w:customStyle="1" w:styleId="16">
    <w:name w:val="Текст сноски1"/>
    <w:basedOn w:val="a"/>
    <w:next w:val="a6"/>
    <w:link w:val="a7"/>
    <w:semiHidden/>
    <w:unhideWhenUsed/>
    <w:rsid w:val="00800C70"/>
    <w:pPr>
      <w:spacing w:after="0" w:line="240" w:lineRule="auto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16"/>
    <w:semiHidden/>
    <w:rsid w:val="00800C70"/>
    <w:rPr>
      <w:sz w:val="20"/>
      <w:szCs w:val="20"/>
    </w:rPr>
  </w:style>
  <w:style w:type="character" w:styleId="a8">
    <w:name w:val="footnote reference"/>
    <w:basedOn w:val="a0"/>
    <w:semiHidden/>
    <w:rsid w:val="00800C70"/>
    <w:rPr>
      <w:rFonts w:cs="Times New Roman"/>
      <w:sz w:val="20"/>
      <w:vertAlign w:val="superscript"/>
    </w:rPr>
  </w:style>
  <w:style w:type="paragraph" w:customStyle="1" w:styleId="17">
    <w:name w:val="Текст выноски1"/>
    <w:basedOn w:val="a"/>
    <w:next w:val="a9"/>
    <w:link w:val="aa"/>
    <w:uiPriority w:val="99"/>
    <w:semiHidden/>
    <w:unhideWhenUsed/>
    <w:rsid w:val="00800C70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17"/>
    <w:uiPriority w:val="99"/>
    <w:semiHidden/>
    <w:rsid w:val="00800C70"/>
    <w:rPr>
      <w:rFonts w:ascii="Tahoma" w:hAnsi="Tahoma" w:cs="Tahoma"/>
      <w:sz w:val="16"/>
      <w:szCs w:val="16"/>
    </w:rPr>
  </w:style>
  <w:style w:type="paragraph" w:customStyle="1" w:styleId="18">
    <w:name w:val="Верхний колонтитул1"/>
    <w:basedOn w:val="a"/>
    <w:next w:val="ab"/>
    <w:link w:val="ac"/>
    <w:uiPriority w:val="99"/>
    <w:unhideWhenUsed/>
    <w:rsid w:val="00800C70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c">
    <w:name w:val="Верхний колонтитул Знак"/>
    <w:basedOn w:val="a0"/>
    <w:link w:val="18"/>
    <w:uiPriority w:val="99"/>
    <w:rsid w:val="00800C70"/>
  </w:style>
  <w:style w:type="paragraph" w:customStyle="1" w:styleId="19">
    <w:name w:val="Нижний колонтитул1"/>
    <w:basedOn w:val="a"/>
    <w:next w:val="ad"/>
    <w:link w:val="ae"/>
    <w:uiPriority w:val="99"/>
    <w:unhideWhenUsed/>
    <w:rsid w:val="00800C70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e">
    <w:name w:val="Нижний колонтитул Знак"/>
    <w:basedOn w:val="a0"/>
    <w:link w:val="19"/>
    <w:uiPriority w:val="99"/>
    <w:rsid w:val="00800C70"/>
  </w:style>
  <w:style w:type="paragraph" w:customStyle="1" w:styleId="32">
    <w:name w:val="Титульный лист 3"/>
    <w:basedOn w:val="a"/>
    <w:rsid w:val="00800C7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0">
    <w:name w:val="Текст 2"/>
    <w:basedOn w:val="3"/>
    <w:rsid w:val="00800C70"/>
    <w:pPr>
      <w:numPr>
        <w:ilvl w:val="2"/>
        <w:numId w:val="1"/>
      </w:numPr>
      <w:ind w:left="993" w:hanging="567"/>
      <w:textAlignment w:val="auto"/>
    </w:pPr>
  </w:style>
  <w:style w:type="paragraph" w:customStyle="1" w:styleId="af">
    <w:name w:val="заголовок (ПОдразделыазделы)"/>
    <w:basedOn w:val="a"/>
    <w:next w:val="a"/>
    <w:autoRedefine/>
    <w:rsid w:val="00800C70"/>
    <w:pPr>
      <w:tabs>
        <w:tab w:val="left" w:pos="34"/>
      </w:tabs>
      <w:spacing w:after="0" w:line="240" w:lineRule="auto"/>
      <w:ind w:left="34" w:firstLine="361"/>
      <w:jc w:val="both"/>
    </w:pPr>
    <w:rPr>
      <w:rFonts w:eastAsia="Times New Roman" w:cs="Calibri"/>
      <w:bCs/>
      <w:sz w:val="20"/>
      <w:szCs w:val="20"/>
      <w:lang w:eastAsia="ru-RU"/>
    </w:rPr>
  </w:style>
  <w:style w:type="paragraph" w:styleId="2">
    <w:name w:val="toc 2"/>
    <w:basedOn w:val="a"/>
    <w:next w:val="a"/>
    <w:uiPriority w:val="39"/>
    <w:qFormat/>
    <w:rsid w:val="00800C70"/>
    <w:pPr>
      <w:widowControl w:val="0"/>
      <w:numPr>
        <w:numId w:val="2"/>
      </w:numPr>
      <w:tabs>
        <w:tab w:val="right" w:leader="dot" w:pos="9639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i/>
      <w:noProof/>
      <w:sz w:val="24"/>
      <w:szCs w:val="24"/>
      <w:lang w:eastAsia="ru-RU"/>
    </w:rPr>
  </w:style>
  <w:style w:type="paragraph" w:customStyle="1" w:styleId="1a">
    <w:name w:val="Список 1"/>
    <w:basedOn w:val="af0"/>
    <w:rsid w:val="00800C70"/>
    <w:pPr>
      <w:widowControl w:val="0"/>
      <w:numPr>
        <w:numId w:val="0"/>
      </w:numPr>
      <w:tabs>
        <w:tab w:val="num" w:pos="851"/>
        <w:tab w:val="num" w:pos="1532"/>
      </w:tabs>
      <w:overflowPunct w:val="0"/>
      <w:autoSpaceDE w:val="0"/>
      <w:autoSpaceDN w:val="0"/>
      <w:adjustRightInd w:val="0"/>
      <w:spacing w:before="60" w:after="0" w:line="240" w:lineRule="auto"/>
      <w:ind w:left="851" w:hanging="425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Маркированный список1"/>
    <w:basedOn w:val="a"/>
    <w:next w:val="af0"/>
    <w:uiPriority w:val="99"/>
    <w:semiHidden/>
    <w:unhideWhenUsed/>
    <w:rsid w:val="00800C70"/>
    <w:pPr>
      <w:tabs>
        <w:tab w:val="num" w:pos="1532"/>
      </w:tabs>
      <w:spacing w:after="0" w:line="240" w:lineRule="auto"/>
      <w:ind w:left="1532" w:hanging="397"/>
      <w:contextualSpacing/>
      <w:jc w:val="both"/>
    </w:pPr>
  </w:style>
  <w:style w:type="paragraph" w:styleId="af1">
    <w:name w:val="Body Text Indent"/>
    <w:basedOn w:val="a"/>
    <w:link w:val="af2"/>
    <w:rsid w:val="00800C7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800C7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800C70"/>
    <w:pPr>
      <w:tabs>
        <w:tab w:val="left" w:pos="868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00C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basedOn w:val="a0"/>
    <w:uiPriority w:val="99"/>
    <w:unhideWhenUsed/>
    <w:rsid w:val="00800C70"/>
    <w:rPr>
      <w:color w:val="0000FF"/>
      <w:u w:val="single"/>
    </w:rPr>
  </w:style>
  <w:style w:type="character" w:styleId="af4">
    <w:name w:val="Strong"/>
    <w:basedOn w:val="a0"/>
    <w:uiPriority w:val="22"/>
    <w:qFormat/>
    <w:rsid w:val="00800C70"/>
    <w:rPr>
      <w:b/>
      <w:bCs/>
    </w:rPr>
  </w:style>
  <w:style w:type="character" w:customStyle="1" w:styleId="apple-converted-space">
    <w:name w:val="apple-converted-space"/>
    <w:basedOn w:val="a0"/>
    <w:rsid w:val="00800C70"/>
  </w:style>
  <w:style w:type="paragraph" w:customStyle="1" w:styleId="formattext">
    <w:name w:val="formattext"/>
    <w:basedOn w:val="a"/>
    <w:rsid w:val="00800C7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800C70"/>
    <w:rPr>
      <w:sz w:val="16"/>
      <w:szCs w:val="16"/>
    </w:rPr>
  </w:style>
  <w:style w:type="paragraph" w:customStyle="1" w:styleId="1c">
    <w:name w:val="Текст примечания1"/>
    <w:basedOn w:val="a"/>
    <w:next w:val="af6"/>
    <w:link w:val="af7"/>
    <w:uiPriority w:val="99"/>
    <w:unhideWhenUsed/>
    <w:rsid w:val="00800C70"/>
    <w:pPr>
      <w:spacing w:after="0" w:line="240" w:lineRule="auto"/>
      <w:jc w:val="both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1c"/>
    <w:uiPriority w:val="99"/>
    <w:rsid w:val="00800C70"/>
    <w:rPr>
      <w:sz w:val="20"/>
      <w:szCs w:val="20"/>
    </w:rPr>
  </w:style>
  <w:style w:type="paragraph" w:customStyle="1" w:styleId="1d">
    <w:name w:val="Тема примечания1"/>
    <w:basedOn w:val="af6"/>
    <w:next w:val="af6"/>
    <w:uiPriority w:val="99"/>
    <w:semiHidden/>
    <w:unhideWhenUsed/>
    <w:rsid w:val="00800C70"/>
    <w:pPr>
      <w:spacing w:after="0"/>
      <w:jc w:val="both"/>
    </w:pPr>
    <w:rPr>
      <w:b/>
      <w:bCs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800C70"/>
    <w:rPr>
      <w:b/>
      <w:bCs/>
      <w:sz w:val="20"/>
      <w:szCs w:val="20"/>
    </w:rPr>
  </w:style>
  <w:style w:type="paragraph" w:customStyle="1" w:styleId="1e">
    <w:name w:val="Стиль1"/>
    <w:basedOn w:val="21"/>
    <w:link w:val="1f"/>
    <w:qFormat/>
    <w:rsid w:val="00800C70"/>
    <w:pPr>
      <w:tabs>
        <w:tab w:val="clear" w:pos="397"/>
        <w:tab w:val="left" w:pos="0"/>
      </w:tabs>
      <w:spacing w:before="120"/>
    </w:pPr>
    <w:rPr>
      <w:rFonts w:eastAsia="Calibri"/>
      <w:b w:val="0"/>
      <w:szCs w:val="24"/>
    </w:rPr>
  </w:style>
  <w:style w:type="character" w:customStyle="1" w:styleId="1f">
    <w:name w:val="Стиль1 Знак"/>
    <w:basedOn w:val="22"/>
    <w:link w:val="1e"/>
    <w:rsid w:val="00800C70"/>
    <w:rPr>
      <w:rFonts w:ascii="Times New Roman" w:eastAsia="Calibri" w:hAnsi="Times New Roman" w:cs="Times New Roman"/>
      <w:b w:val="0"/>
      <w:sz w:val="24"/>
      <w:szCs w:val="24"/>
      <w:lang w:eastAsia="ru-RU"/>
    </w:rPr>
  </w:style>
  <w:style w:type="paragraph" w:customStyle="1" w:styleId="1f0">
    <w:name w:val="Заголовок оглавления1"/>
    <w:basedOn w:val="1"/>
    <w:next w:val="a"/>
    <w:uiPriority w:val="39"/>
    <w:semiHidden/>
    <w:unhideWhenUsed/>
    <w:qFormat/>
    <w:rsid w:val="00800C70"/>
    <w:pPr>
      <w:widowControl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eastAsia="MS Gothic" w:hAnsi="Cambria"/>
      <w:color w:val="365F91"/>
      <w:kern w:val="0"/>
      <w:szCs w:val="28"/>
    </w:rPr>
  </w:style>
  <w:style w:type="paragraph" w:customStyle="1" w:styleId="110">
    <w:name w:val="Оглавление 11"/>
    <w:basedOn w:val="a"/>
    <w:next w:val="a"/>
    <w:autoRedefine/>
    <w:uiPriority w:val="39"/>
    <w:unhideWhenUsed/>
    <w:qFormat/>
    <w:rsid w:val="00800C70"/>
    <w:pPr>
      <w:widowControl w:val="0"/>
      <w:tabs>
        <w:tab w:val="left" w:pos="440"/>
        <w:tab w:val="right" w:leader="dot" w:pos="9627"/>
      </w:tabs>
      <w:overflowPunct w:val="0"/>
      <w:autoSpaceDE w:val="0"/>
      <w:autoSpaceDN w:val="0"/>
      <w:adjustRightInd w:val="0"/>
      <w:spacing w:before="60" w:after="0" w:line="360" w:lineRule="auto"/>
      <w:ind w:left="426" w:hanging="426"/>
      <w:textAlignment w:val="baseline"/>
    </w:pPr>
  </w:style>
  <w:style w:type="paragraph" w:customStyle="1" w:styleId="310">
    <w:name w:val="Оглавление 31"/>
    <w:basedOn w:val="a"/>
    <w:next w:val="a"/>
    <w:autoRedefine/>
    <w:uiPriority w:val="39"/>
    <w:semiHidden/>
    <w:unhideWhenUsed/>
    <w:qFormat/>
    <w:rsid w:val="00800C70"/>
    <w:pPr>
      <w:spacing w:after="100" w:line="240" w:lineRule="auto"/>
      <w:ind w:left="440"/>
      <w:jc w:val="both"/>
    </w:pPr>
    <w:rPr>
      <w:rFonts w:eastAsia="MS Mincho"/>
      <w:lang w:eastAsia="ru-RU"/>
    </w:rPr>
  </w:style>
  <w:style w:type="paragraph" w:customStyle="1" w:styleId="ConsPlusNormal">
    <w:name w:val="ConsPlusNormal"/>
    <w:rsid w:val="00800C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a">
    <w:name w:val="ОБычный"/>
    <w:basedOn w:val="a"/>
    <w:link w:val="afb"/>
    <w:qFormat/>
    <w:rsid w:val="00800C70"/>
    <w:pPr>
      <w:widowControl w:val="0"/>
      <w:spacing w:before="60" w:after="0" w:line="312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afb">
    <w:name w:val="ОБычный Знак"/>
    <w:basedOn w:val="a0"/>
    <w:link w:val="afa"/>
    <w:rsid w:val="00800C70"/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24">
    <w:name w:val="Основной текст (2)_"/>
    <w:basedOn w:val="a0"/>
    <w:link w:val="211"/>
    <w:rsid w:val="00800C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1">
    <w:name w:val="Основной текст (2)1"/>
    <w:basedOn w:val="a"/>
    <w:link w:val="24"/>
    <w:rsid w:val="00800C7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f1">
    <w:name w:val="Текст концевой сноски1"/>
    <w:basedOn w:val="a"/>
    <w:next w:val="afc"/>
    <w:link w:val="afd"/>
    <w:uiPriority w:val="99"/>
    <w:semiHidden/>
    <w:unhideWhenUsed/>
    <w:rsid w:val="00800C70"/>
    <w:pPr>
      <w:spacing w:after="0" w:line="240" w:lineRule="auto"/>
      <w:jc w:val="both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1f1"/>
    <w:uiPriority w:val="99"/>
    <w:semiHidden/>
    <w:rsid w:val="00800C7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800C70"/>
    <w:rPr>
      <w:vertAlign w:val="superscript"/>
    </w:rPr>
  </w:style>
  <w:style w:type="character" w:styleId="aff">
    <w:name w:val="FollowedHyperlink"/>
    <w:basedOn w:val="a0"/>
    <w:uiPriority w:val="99"/>
    <w:semiHidden/>
    <w:unhideWhenUsed/>
    <w:rsid w:val="00800C70"/>
    <w:rPr>
      <w:color w:val="800080"/>
      <w:u w:val="single"/>
    </w:rPr>
  </w:style>
  <w:style w:type="paragraph" w:customStyle="1" w:styleId="1f2">
    <w:name w:val="Рецензия1"/>
    <w:next w:val="aff0"/>
    <w:hidden/>
    <w:uiPriority w:val="99"/>
    <w:semiHidden/>
    <w:rsid w:val="00800C70"/>
    <w:pPr>
      <w:spacing w:after="0" w:line="240" w:lineRule="auto"/>
    </w:pPr>
  </w:style>
  <w:style w:type="character" w:styleId="aff1">
    <w:name w:val="Mention"/>
    <w:basedOn w:val="a0"/>
    <w:uiPriority w:val="99"/>
    <w:semiHidden/>
    <w:unhideWhenUsed/>
    <w:rsid w:val="00800C70"/>
    <w:rPr>
      <w:color w:val="2B579A"/>
      <w:shd w:val="clear" w:color="auto" w:fill="E6E6E6"/>
    </w:rPr>
  </w:style>
  <w:style w:type="table" w:styleId="a3">
    <w:name w:val="Table Grid"/>
    <w:basedOn w:val="a1"/>
    <w:uiPriority w:val="39"/>
    <w:rsid w:val="0080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C70"/>
    <w:pPr>
      <w:ind w:left="720"/>
      <w:contextualSpacing/>
    </w:pPr>
  </w:style>
  <w:style w:type="paragraph" w:styleId="23">
    <w:name w:val="List 2"/>
    <w:basedOn w:val="a"/>
    <w:uiPriority w:val="99"/>
    <w:semiHidden/>
    <w:unhideWhenUsed/>
    <w:rsid w:val="00800C70"/>
    <w:pPr>
      <w:ind w:left="566" w:hanging="283"/>
      <w:contextualSpacing/>
    </w:pPr>
  </w:style>
  <w:style w:type="paragraph" w:styleId="a6">
    <w:name w:val="footnote text"/>
    <w:basedOn w:val="a"/>
    <w:link w:val="1f3"/>
    <w:uiPriority w:val="99"/>
    <w:semiHidden/>
    <w:unhideWhenUsed/>
    <w:rsid w:val="00800C70"/>
    <w:pPr>
      <w:spacing w:after="0" w:line="240" w:lineRule="auto"/>
    </w:pPr>
    <w:rPr>
      <w:sz w:val="20"/>
      <w:szCs w:val="20"/>
    </w:rPr>
  </w:style>
  <w:style w:type="character" w:customStyle="1" w:styleId="1f3">
    <w:name w:val="Текст сноски Знак1"/>
    <w:basedOn w:val="a0"/>
    <w:link w:val="a6"/>
    <w:uiPriority w:val="99"/>
    <w:semiHidden/>
    <w:rsid w:val="00800C70"/>
    <w:rPr>
      <w:sz w:val="20"/>
      <w:szCs w:val="20"/>
    </w:rPr>
  </w:style>
  <w:style w:type="paragraph" w:styleId="a9">
    <w:name w:val="Balloon Text"/>
    <w:basedOn w:val="a"/>
    <w:link w:val="1f4"/>
    <w:uiPriority w:val="99"/>
    <w:semiHidden/>
    <w:unhideWhenUsed/>
    <w:rsid w:val="00800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4">
    <w:name w:val="Текст выноски Знак1"/>
    <w:basedOn w:val="a0"/>
    <w:link w:val="a9"/>
    <w:uiPriority w:val="99"/>
    <w:semiHidden/>
    <w:rsid w:val="00800C70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1f5"/>
    <w:uiPriority w:val="99"/>
    <w:unhideWhenUsed/>
    <w:rsid w:val="00800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 Знак1"/>
    <w:basedOn w:val="a0"/>
    <w:link w:val="ab"/>
    <w:uiPriority w:val="99"/>
    <w:rsid w:val="00800C70"/>
  </w:style>
  <w:style w:type="paragraph" w:styleId="ad">
    <w:name w:val="footer"/>
    <w:basedOn w:val="a"/>
    <w:link w:val="1f6"/>
    <w:uiPriority w:val="99"/>
    <w:unhideWhenUsed/>
    <w:rsid w:val="00800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6">
    <w:name w:val="Нижний колонтитул Знак1"/>
    <w:basedOn w:val="a0"/>
    <w:link w:val="ad"/>
    <w:uiPriority w:val="99"/>
    <w:rsid w:val="00800C70"/>
  </w:style>
  <w:style w:type="paragraph" w:styleId="af0">
    <w:name w:val="List Bullet"/>
    <w:basedOn w:val="a"/>
    <w:uiPriority w:val="99"/>
    <w:semiHidden/>
    <w:unhideWhenUsed/>
    <w:rsid w:val="00800C70"/>
    <w:pPr>
      <w:numPr>
        <w:numId w:val="1"/>
      </w:numPr>
      <w:contextualSpacing/>
    </w:pPr>
  </w:style>
  <w:style w:type="paragraph" w:styleId="af6">
    <w:name w:val="annotation text"/>
    <w:basedOn w:val="a"/>
    <w:link w:val="1f7"/>
    <w:uiPriority w:val="99"/>
    <w:semiHidden/>
    <w:unhideWhenUsed/>
    <w:rsid w:val="00800C70"/>
    <w:pPr>
      <w:spacing w:line="240" w:lineRule="auto"/>
    </w:pPr>
    <w:rPr>
      <w:sz w:val="20"/>
      <w:szCs w:val="20"/>
    </w:rPr>
  </w:style>
  <w:style w:type="character" w:customStyle="1" w:styleId="1f7">
    <w:name w:val="Текст примечания Знак1"/>
    <w:basedOn w:val="a0"/>
    <w:link w:val="af6"/>
    <w:uiPriority w:val="99"/>
    <w:semiHidden/>
    <w:rsid w:val="00800C70"/>
    <w:rPr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800C70"/>
    <w:rPr>
      <w:b/>
      <w:bCs/>
    </w:rPr>
  </w:style>
  <w:style w:type="character" w:customStyle="1" w:styleId="1f8">
    <w:name w:val="Тема примечания Знак1"/>
    <w:basedOn w:val="1f7"/>
    <w:link w:val="af9"/>
    <w:uiPriority w:val="99"/>
    <w:semiHidden/>
    <w:rsid w:val="00800C70"/>
    <w:rPr>
      <w:b/>
      <w:bCs/>
      <w:sz w:val="20"/>
      <w:szCs w:val="20"/>
    </w:rPr>
  </w:style>
  <w:style w:type="paragraph" w:styleId="afc">
    <w:name w:val="endnote text"/>
    <w:basedOn w:val="a"/>
    <w:link w:val="1f9"/>
    <w:uiPriority w:val="99"/>
    <w:semiHidden/>
    <w:unhideWhenUsed/>
    <w:rsid w:val="00800C70"/>
    <w:pPr>
      <w:spacing w:after="0" w:line="240" w:lineRule="auto"/>
    </w:pPr>
    <w:rPr>
      <w:sz w:val="20"/>
      <w:szCs w:val="20"/>
    </w:rPr>
  </w:style>
  <w:style w:type="character" w:customStyle="1" w:styleId="1f9">
    <w:name w:val="Текст концевой сноски Знак1"/>
    <w:basedOn w:val="a0"/>
    <w:link w:val="afc"/>
    <w:uiPriority w:val="99"/>
    <w:semiHidden/>
    <w:rsid w:val="00800C70"/>
    <w:rPr>
      <w:sz w:val="20"/>
      <w:szCs w:val="20"/>
    </w:rPr>
  </w:style>
  <w:style w:type="paragraph" w:styleId="aff0">
    <w:name w:val="Revision"/>
    <w:hidden/>
    <w:uiPriority w:val="99"/>
    <w:semiHidden/>
    <w:rsid w:val="00800C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5325</Words>
  <Characters>30357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 С.В.</dc:creator>
  <cp:keywords/>
  <dc:description/>
  <cp:lastModifiedBy>Гусев С.В.</cp:lastModifiedBy>
  <cp:revision>5</cp:revision>
  <dcterms:created xsi:type="dcterms:W3CDTF">2017-04-18T08:31:00Z</dcterms:created>
  <dcterms:modified xsi:type="dcterms:W3CDTF">2017-04-18T11:34:00Z</dcterms:modified>
</cp:coreProperties>
</file>