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sz w:val="28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>УТВЕРЖДЕН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lang w:eastAsia="ru-RU"/>
        </w:rPr>
        <w:t xml:space="preserve">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>распоряжением председателя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lang w:eastAsia="ru-RU"/>
        </w:rPr>
        <w:t xml:space="preserve">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 xml:space="preserve">Контрольно-счетной палаты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 xml:space="preserve">городского округа Фрязино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>от 30.09.2024 № 44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lang w:eastAsia="ru-RU"/>
        </w:rPr>
        <w:t xml:space="preserve">                  </w:t>
      </w:r>
      <w:r>
        <w:rPr>
          <w:rFonts w:eastAsia="Times New Roman" w:ascii="Times New Roman" w:hAnsi="Times New Roman"/>
          <w:b/>
          <w:sz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30"/>
          <w:lang w:eastAsia="ru-RU"/>
        </w:rPr>
        <w:t>Контрольно-счетная палата городского округа Фрязино</w:t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lang w:eastAsia="ru-RU"/>
        </w:rPr>
        <w:t xml:space="preserve">                        </w:t>
      </w:r>
      <w:r>
        <w:rPr>
          <w:rFonts w:eastAsia="Times New Roman" w:ascii="Times New Roman" w:hAnsi="Times New Roman"/>
          <w:b/>
          <w:sz w:val="28"/>
          <w:lang w:eastAsia="ru-RU"/>
        </w:rPr>
        <w:t xml:space="preserve">   </w:t>
      </w:r>
      <w:r>
        <w:rPr>
          <w:rFonts w:eastAsia="Times New Roman" w:ascii="Times New Roman" w:hAnsi="Times New Roman"/>
          <w:b/>
          <w:sz w:val="28"/>
        </w:rPr>
        <w:t>СТАНДАРТ ОРГАНИЗАЦИИ ДЕЯТЕЛЬНОСТИ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8"/>
          <w:lang w:eastAsia="ru-RU"/>
        </w:rPr>
        <w:t xml:space="preserve">                   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8"/>
          <w:lang w:eastAsia="ru-RU"/>
        </w:rPr>
        <w:t xml:space="preserve">                                </w:t>
      </w:r>
      <w:r>
        <w:rPr>
          <w:rFonts w:eastAsia="Times New Roman" w:ascii="Times New Roman" w:hAnsi="Times New Roman"/>
          <w:b/>
          <w:sz w:val="30"/>
          <w:lang w:eastAsia="ru-RU"/>
        </w:rPr>
        <w:t xml:space="preserve"> </w:t>
      </w:r>
      <w:bookmarkStart w:id="0" w:name="__DdeLink__352559_1369769515"/>
      <w:r>
        <w:rPr>
          <w:rFonts w:eastAsia="Times New Roman" w:ascii="Times New Roman" w:hAnsi="Times New Roman"/>
          <w:b/>
          <w:sz w:val="30"/>
          <w:lang w:eastAsia="ru-RU"/>
        </w:rPr>
        <w:t xml:space="preserve">СОД 204 </w:t>
      </w:r>
      <w:bookmarkEnd w:id="0"/>
      <w:r>
        <w:rPr>
          <w:rFonts w:eastAsia="Times New Roman" w:ascii="Times New Roman" w:hAnsi="Times New Roman"/>
          <w:b/>
          <w:sz w:val="30"/>
        </w:rPr>
        <w:t xml:space="preserve">«Подготовка отчета о деятельности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30"/>
          <w:lang w:eastAsia="ru-RU"/>
        </w:rPr>
        <w:t xml:space="preserve">                   </w:t>
      </w:r>
      <w:r>
        <w:rPr>
          <w:rFonts w:eastAsia="Times New Roman" w:ascii="Times New Roman" w:hAnsi="Times New Roman"/>
          <w:b/>
          <w:sz w:val="30"/>
        </w:rPr>
        <w:t>Контрольно-счетной палаты городского округа Фрязино»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30"/>
          <w:lang w:eastAsia="ru-RU"/>
        </w:rPr>
        <w:t xml:space="preserve">                                   </w:t>
      </w:r>
      <w:r>
        <w:rPr>
          <w:rFonts w:eastAsia="Times New Roman" w:ascii="Times New Roman" w:hAnsi="Times New Roman"/>
          <w:b w:val="false"/>
          <w:sz w:val="28"/>
        </w:rPr>
        <w:t>(начало действия стандарта  01.10.2024)</w:t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</w:rPr>
        <w:t xml:space="preserve">  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>Размещен на сайте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</w:rPr>
        <w:t xml:space="preserve">  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 xml:space="preserve">Контрольно-счетной палаты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>городского округа Фрязино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</w:rPr>
        <w:t xml:space="preserve">                                                                                         </w:t>
      </w:r>
      <w:r>
        <w:rPr>
          <w:rFonts w:eastAsia="Times New Roman" w:ascii="Times New Roman" w:hAnsi="Times New Roman"/>
          <w:sz w:val="28"/>
        </w:rPr>
        <w:t xml:space="preserve">в  сети Интернет 01.10.2024                                                                                      </w:t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8"/>
          <w:lang w:eastAsia="ru-RU"/>
        </w:rPr>
        <w:t xml:space="preserve">                                                      </w:t>
      </w:r>
      <w:r>
        <w:rPr>
          <w:rFonts w:eastAsia="Times New Roman" w:ascii="Times New Roman" w:hAnsi="Times New Roman"/>
          <w:b w:val="false"/>
          <w:sz w:val="28"/>
        </w:rPr>
        <w:t>Фрязино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  <w:lang w:eastAsia="ru-RU"/>
        </w:rPr>
        <w:t xml:space="preserve">                                                         </w:t>
      </w:r>
      <w:r>
        <w:rPr>
          <w:rFonts w:eastAsia="Times New Roman" w:ascii="Times New Roman" w:hAnsi="Times New Roman"/>
          <w:b w:val="false"/>
          <w:sz w:val="28"/>
        </w:rPr>
        <w:t>2024</w:t>
      </w:r>
    </w:p>
    <w:p>
      <w:pPr>
        <w:pStyle w:val="Normal"/>
        <w:spacing w:lineRule="auto" w:line="360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8"/>
          <w:lang w:eastAsia="ru-RU"/>
        </w:rPr>
        <w:t xml:space="preserve">                                                       </w:t>
      </w:r>
      <w:r>
        <w:rPr>
          <w:rFonts w:eastAsia="Times New Roman" w:ascii="Times New Roman" w:hAnsi="Times New Roman"/>
          <w:b/>
          <w:sz w:val="28"/>
        </w:rPr>
        <w:t xml:space="preserve">Содержание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1. Общие положения..................................................................................................3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2. Цель, задачи и принципы формирования отчета........................................……3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 Структура Отчета.............................................................................................…..4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4. Формирование, подготовка проекта Отчета и его утверждение......……..........7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Приложение………………………………………………………………………….8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8"/>
          <w:lang w:eastAsia="ru-RU"/>
        </w:rPr>
        <w:t xml:space="preserve">                                             </w:t>
      </w:r>
      <w:r>
        <w:rPr>
          <w:rFonts w:eastAsia="Times New Roman" w:ascii="Times New Roman" w:hAnsi="Times New Roman"/>
          <w:b/>
          <w:sz w:val="28"/>
        </w:rPr>
        <w:t>1. Общие положения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 xml:space="preserve">1.1. Стандарт организации деятельности Контрольно-счетной палаты городского округа Фрязино </w:t>
      </w:r>
      <w:r>
        <w:rPr>
          <w:rFonts w:eastAsia="Times New Roman" w:ascii="Times New Roman" w:hAnsi="Times New Roman"/>
          <w:b w:val="false"/>
          <w:sz w:val="28"/>
          <w:lang w:eastAsia="ru-RU"/>
        </w:rPr>
        <w:t xml:space="preserve">СОД 204 </w:t>
      </w:r>
      <w:r>
        <w:rPr>
          <w:rFonts w:eastAsia="Times New Roman" w:ascii="Times New Roman" w:hAnsi="Times New Roman"/>
          <w:b w:val="false"/>
          <w:sz w:val="28"/>
        </w:rPr>
        <w:t xml:space="preserve">«Подготовка отчета о деятельности Контрольно-счетной палаты городского округа Фрязино» (далее — Стандарт) разработан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Фрязино, </w:t>
      </w:r>
      <w:r>
        <w:rPr>
          <w:rFonts w:eastAsia="Times New Roman" w:cs="Times New Roman" w:ascii="Times New Roman" w:hAnsi="Times New Roman"/>
          <w:b w:val="false"/>
          <w:sz w:val="28"/>
          <w:szCs w:val="28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утв. постановлением Коллегии Счетной палаты РФ от 29.03.2022 N 2ПК.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1.2. Целью разработки Стандарта является установление порядка и правил подготовки Контрольно-счетной палатой городского округа Фрязино (далее — Контрольно-счетная палата) ежегодного отчета о своей деятельности (далее — Отчет).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1.3 Задачей Стандарта является определение структуры Отчета, установление порядка организации работы по подготовке Отчета, общих требований к представлению документов и материалов для формирования Отчета, порядка его утверждения.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 xml:space="preserve">1.4. </w:t>
      </w:r>
      <w:r>
        <w:rPr>
          <w:rFonts w:eastAsia="Times New Roman" w:ascii="Times New Roman" w:hAnsi="Times New Roman"/>
          <w:b w:val="false"/>
          <w:i w:val="false"/>
          <w:sz w:val="28"/>
        </w:rPr>
        <w:t>Сферой применения Стандарта является публичная деятельность  Контрольно-счетной палаты, основанная на принципах независимости, объективности и гласности.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8"/>
          <w:lang w:eastAsia="ru-RU"/>
        </w:rPr>
        <w:t xml:space="preserve">                        </w:t>
      </w:r>
      <w:r>
        <w:rPr>
          <w:rFonts w:eastAsia="Times New Roman" w:ascii="Times New Roman" w:hAnsi="Times New Roman"/>
          <w:b/>
          <w:sz w:val="28"/>
        </w:rPr>
        <w:t>2. Цель, задачи и принципы формирования Отчета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 xml:space="preserve">2.1. Целью формирования Отчета является обобщение и систематизация результатов деятельности Контрольно-счетной палаты по проведению внешнего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муниципального финансового контроля за отчетный период.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2.2. Формирование отчета предусматривает: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обобщение и классификацию результатов контрольных мероприятий по видам выявленных нарушений в количественном и суммовом выражении.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 xml:space="preserve">- анализ результатов проведенных </w:t>
      </w:r>
      <w:bookmarkStart w:id="1" w:name="__DdeLink__2860_1222176595"/>
      <w:r>
        <w:rPr>
          <w:rFonts w:eastAsia="Times New Roman" w:ascii="Times New Roman" w:hAnsi="Times New Roman"/>
          <w:b w:val="false"/>
          <w:sz w:val="28"/>
        </w:rPr>
        <w:t>контрольных и экспертно-аналитических мероприятий</w:t>
      </w:r>
      <w:bookmarkEnd w:id="1"/>
      <w:r>
        <w:rPr>
          <w:rFonts w:eastAsia="Times New Roman" w:ascii="Times New Roman" w:hAnsi="Times New Roman"/>
          <w:b w:val="false"/>
          <w:sz w:val="28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анализ выполнения мер, принимаемых по результатам  контрольных и экспертно-аналитических мероприятий.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информирование общественности о деятельности Контрольно-счетной палаты.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2.3. Формирование отчетов о работе основывается на принципах объективности, полноты, своевременности, независимости и гласности.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8"/>
          <w:lang w:eastAsia="ru-RU"/>
        </w:rPr>
        <w:t xml:space="preserve">                                              </w:t>
      </w:r>
      <w:r>
        <w:rPr>
          <w:rFonts w:eastAsia="Times New Roman" w:ascii="Times New Roman" w:hAnsi="Times New Roman"/>
          <w:b/>
          <w:sz w:val="28"/>
        </w:rPr>
        <w:t>3. Структура Отчета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3.1. Отчет состоит из текстовой части и приложений.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3.2. Текстовая часть Отчета состоит из следующих разделов: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общая характеристика;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контрольная деятельность;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экспертно-аналитическая деятельность;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взаимодействие Контрольно-счетной палаты;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информационная и организационная деятельность;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деятельность по противодействию коррупции;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работа с обращениями граждан, объединений граждан и юридических лиц;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обеспечение гласности;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финансовое, материальное и кадровое обеспечение деятельности;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- приложение: Основные показатели деятельности Контрольно-счетной палаты за отчетный год.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3.3. Раздел «Общая характеристика» содержит общие данные о Контрольно-счетной палате, установленных полномочиях, значимых событиях в деятельности за отчетный период.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3.4. Раздел «Контрольная деятельность» содержит сводную информацию о количестве и перечне проведенных контрольных мероприятий, о количестве объектов проверки, о сумме проверенных средств, о видах и сумме выявленных нарушений, о количестве представлений и предписаний, направленных органам и организациям, о количестве предложений Контрольно-счетной палаты по устранению нарушений и о количестве исполненных предложений. Кроме того, в разделе представляется краткая характеристика каждого контрольного мероприятия.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3.5. Раздел «Экспертно-аналитическая деятельность» содержит общую информацию о количестве проведенных экспертно-аналитических мероприятий, выводах и предложениях, сформулированных по результатам проведенных экспертно-аналитических мероприятий в соответствии с установленными полномочиями.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3.6. Раздел «Взаимодействие Контрольно-счетной палаты» содержит информацию о результатах взаимодействия Контрольно-счетной палаты при осуществлении своей деятельности в рамках заключенных соглашений, а также с контрольно-счетными органами субъектов Российской Федерации  и муниципальных образований, территориальными органами Федерального казначейства, территориальными управлениями Федеральной службы финансово-бюджетного надзора, налоговыми органами, органами прокуратуры,   иными правоохранительными, надзорными и контрольными органами субъектов Российской Федерации, муниципальных образований в отчетный период.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3.7. Раздел «Информационная и организационная деятельность» содержит сведения об информировании общественности о деятельности Контрольно-счетной палаты, а именно о количестве и тематике информационных и иных материалов, размещенных на официальном сайте Контрольно-счетной палаты, в средствах массовой информации.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Раздел содержит информацию об участии Контрольно-счетной палаты в заседаниях Совета депутатов города Фрязино, в публичных слушаниях, в работе депутатских комиссий, рабочих групп.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3.8. В разделе «Деятельность по противодействию коррупции»</w:t>
      </w:r>
      <w:r>
        <w:rPr>
          <w:rFonts w:eastAsia="Times New Roman" w:ascii="Times New Roman" w:hAnsi="Times New Roman"/>
          <w:b w:val="false"/>
          <w:i w:val="false"/>
          <w:sz w:val="28"/>
        </w:rPr>
        <w:t xml:space="preserve"> отражается информация о работе по данному направлению, в том числе по выполнению Плана противодействия коррупции в Контрольно-счетной палате на соответствующий год и работе Комиссии по соблюдению требований к служебному поведению муниципальных служащих и урегулированию конфликта интересов в  Контрольно-счетной палате.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 xml:space="preserve">3.9. В разделе «Работа с обращениями граждан, объединений граждан и юридических лиц» отражается информация о количестве поступивших в отчетном году в  </w:t>
      </w:r>
      <w:r>
        <w:rPr>
          <w:rFonts w:eastAsia="Times New Roman" w:ascii="Times New Roman" w:hAnsi="Times New Roman"/>
          <w:b w:val="false"/>
          <w:i w:val="false"/>
          <w:sz w:val="28"/>
        </w:rPr>
        <w:t>Контрольно-счетную палату обращений граждан, объединений граждан и юридических лиц и итоги работы с поступившими обращениями.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sz w:val="28"/>
        </w:rPr>
        <w:t>3.10. В разделе «Обеспечение гласности» отражается информация о результатах работы Контрольно-счетной палаты по реализации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3.11. В разделе «Финансовое, материальное и кадровое обеспечение деятельности» отражается общая информация об обеспечении деятельности Контрольно-счетной палаты. В разделе также отражается информация об участии сотрудников Контрольно-счетной палаты в семинарах, о повышении квалификации сотрудников на курсах повышения квалификации, о дополнительном профессиональном образовании, о проведении аттестации, а также иные вопросы кадровой работы.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3.12. Результаты деятельности  Контрольно-счетной палаты, приведенные в приложениях к Отчету, должны соответствовать показателям, отраженным в текстовой части Отчета.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8"/>
          <w:lang w:eastAsia="ru-RU"/>
        </w:rPr>
        <w:t xml:space="preserve">              </w:t>
      </w:r>
      <w:r>
        <w:rPr>
          <w:rFonts w:eastAsia="Times New Roman" w:ascii="Times New Roman" w:hAnsi="Times New Roman"/>
          <w:b/>
          <w:sz w:val="28"/>
        </w:rPr>
        <w:t>4. Формирование, подготовка проекта Отчета и его утверждение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 w:val="false"/>
          <w:b w:val="false"/>
          <w:sz w:val="28"/>
        </w:rPr>
      </w:pPr>
      <w:r>
        <w:rPr>
          <w:rFonts w:eastAsia="Times New Roman" w:ascii="Times New Roman" w:hAnsi="Times New Roman"/>
          <w:b w:val="false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4.1. В течение года ведется учет проведенных контрольных и экспертно-аналитических мероприятий.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4.2. Проведенные контрольные и экспертно-аналитические мероприятия учитываются раздельно по исполненным пунктам плана работы Контрольно-счетной палаты на соответствующий год. Суммы выявленных и возмещенных финансовых нарушений указываются в тысячах рублей. При определении количества проверенных объектов в качестве объекта проверки учитывается организация (юридическое лицо), в которой в отчетном периоде были проведены контрольные мероприятия и по их результатам составлен акт.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4.3. Все данные приводятся за отчетный период ( с 1 января по 31 декабря отчетного года). Данные приводятся только по завершенным контрольным и экспертно-аналитическим мероприятиям.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4.4. Проект Отчета представляется председателю Контрольно-счетной палаты для утверждения до 20 марта года, следующего за отчетным.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4.5. Отчет, утвержденный председателем Контрольно-счетной палаты, направляется на рассмотрение в Совет депутатов городского округа Фрязино не позднее 1 апреля года, следующего за отчетным.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>4.6. Отчет подлежит опубликованию в средствах массовой информации и размещению в сети Интернет после его рассмотрения Советом депутатов городского округа Фрязино.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b w:val="false"/>
          <w:b w:val="false"/>
          <w:sz w:val="28"/>
        </w:rPr>
      </w:pPr>
      <w:r>
        <w:rPr>
          <w:rFonts w:eastAsia="Times New Roman" w:ascii="Times New Roman" w:hAnsi="Times New Roman"/>
          <w:b w:val="false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</w:t>
      </w:r>
      <w:r>
        <w:rPr>
          <w:rFonts w:eastAsia="Times New Roman" w:ascii="Times New Roman" w:hAnsi="Times New Roman"/>
          <w:b w:val="false"/>
          <w:sz w:val="28"/>
        </w:rPr>
        <w:t>риложение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 xml:space="preserve">  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sz w:val="28"/>
        </w:rPr>
        <w:t xml:space="preserve">                </w:t>
      </w:r>
      <w:r>
        <w:rPr>
          <w:rFonts w:eastAsia="Times New Roman" w:ascii="Times New Roman" w:hAnsi="Times New Roman"/>
          <w:b/>
          <w:bCs/>
          <w:sz w:val="28"/>
        </w:rPr>
        <w:t xml:space="preserve"> </w:t>
      </w:r>
      <w:r>
        <w:rPr>
          <w:rFonts w:eastAsia="Times New Roman" w:ascii="Times New Roman" w:hAnsi="Times New Roman"/>
          <w:b/>
          <w:bCs/>
          <w:sz w:val="28"/>
        </w:rPr>
        <w:t>Основные показатели деятельности Контрольно-счетной палаты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sz w:val="28"/>
        </w:rPr>
        <w:t xml:space="preserve">                                                      </w:t>
      </w:r>
      <w:r>
        <w:rPr>
          <w:rFonts w:eastAsia="Times New Roman" w:ascii="Times New Roman" w:hAnsi="Times New Roman"/>
          <w:b/>
          <w:bCs/>
          <w:sz w:val="28"/>
        </w:rPr>
        <w:t>за ________ год.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78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8"/>
        <w:gridCol w:w="571"/>
        <w:gridCol w:w="570"/>
        <w:gridCol w:w="570"/>
        <w:gridCol w:w="4515"/>
        <w:gridCol w:w="295"/>
        <w:gridCol w:w="666"/>
        <w:gridCol w:w="1584"/>
        <w:gridCol w:w="170"/>
      </w:tblGrid>
      <w:tr>
        <w:trPr>
          <w:trHeight w:val="820" w:hRule="atLeast"/>
        </w:trPr>
        <w:tc>
          <w:tcPr>
            <w:tcW w:w="8025" w:type="dxa"/>
            <w:gridSpan w:val="7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Основные показатели деятельности Контрольно-счетной палаты города Фрязино за _____ год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7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1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19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Основные показатели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Значение показателя в _____году</w:t>
            </w:r>
          </w:p>
        </w:tc>
      </w:tr>
      <w:tr>
        <w:trPr>
          <w:trHeight w:val="307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363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Раздел I. Сведения о проведенных контрольных мероприятиях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контрольных мероприятий (ед.), из них: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по предложениям главы муниципального образования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по поручению Совета депутатов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8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по обращениям граждан и организаций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8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по обращениям прокуратуры и иных правоохранительных органов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8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совместно и параллельно с КСП Московской области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 соответствии с планом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проверенных объектов (органов и организаций) (ед.)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контрольных мероприятий, по результатам которых выявлены финансовые нарушения (ед.)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проверенных средств, всего (тыс. рублей), в том числе: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бюджетные средства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другие средства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бюджета муниципального образования за 2023 финансовый год (тыс. руб.)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бюджета муниципального образования за 2022 финансовый год (тыс. руб.)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бюджета муниципального образования за 2021 финансовый год (тыс. руб.)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3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Раздел II. Сведения о проведенных экспертно-аналитических мероприятиях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экспертно-аналитических мероприятий (ед.), в том числе: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отчетов о ходе исполнения бюджета городского округа Фрязино на 2023 год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проверка отчета об исполнении бюджета городского округа Фрязино за 2022 год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финансово-экономической сферы и сферы закупок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экспертиз проектов муниципальных правовых актов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2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Раздел III. Сведения о результатах контрольных и экспертно-аналитических мероприятий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при формировании и исполнении бюджетов, к-во (ед.)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сумма выявленных нарушений и недостатков, всего (тыс. рублей)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71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Нарушение ведения бухгалтерского учета, составления и представления бухгалтерской (финансовой) отчетности, к-во (ед.)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сумма выявленных нарушений и недостатков, всего (тыс. рублей)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71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законодательства в сфере управления и распоряжения государственной (муниципальной) собственностью, к-во (ед.)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3.3.1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сумма выявленных нарушений и недостатков, всего (тыс. рублей)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3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при осуществлении государственных (муниципальных) закупок товаров, работ и услуг, к-во (ед.)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</w:t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сумма выявленных нарушений и недостатков, всего (тыс. рублей)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нарушения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             </w:t>
            </w:r>
            <w:r>
              <w:rPr>
                <w:rFonts w:ascii="Times New Roman" w:hAnsi="Times New Roman"/>
                <w:i/>
              </w:rPr>
              <w:t>сумма выявленных нарушений и недостатков, всего (тыс. рублей)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3.6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к-во выявленных нарушений (ед.)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3.7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объем выявленных нарушений, всего (тыс. рублей)</w:t>
            </w:r>
          </w:p>
        </w:tc>
        <w:tc>
          <w:tcPr>
            <w:tcW w:w="17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3.8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объем выявленных фактов неэффективного расходования бюджетных средств (тыс. руб.)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3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Раздел IV. Реализация результатов  контрольных и экспертно-аналитических мероприятий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подготовленных материалов контрольных и экспертно-аналитических мероприятий (ед.)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предписаний (ед.), в том числе: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представлений (ед.), в том числе: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4.3.1</w:t>
            </w:r>
          </w:p>
        </w:tc>
        <w:tc>
          <w:tcPr>
            <w:tcW w:w="5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выполненных полностью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4.3.2</w:t>
            </w:r>
          </w:p>
        </w:tc>
        <w:tc>
          <w:tcPr>
            <w:tcW w:w="5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выполненных частично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4.3.3</w:t>
            </w:r>
          </w:p>
        </w:tc>
        <w:tc>
          <w:tcPr>
            <w:tcW w:w="5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сроки выполнения которых не наступили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4.7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 переданных в правоохранительные органы материалов контрольных мероприятий (ед.)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4.8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материалов, направленных в Совет депутатов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07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4.9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принятых мер по привлечению должностных лиц к дисциплинарной ответственности по контрольным и экспертно-аналитическим мероприятиям,</w:t>
              <w:br/>
              <w:t xml:space="preserve"> всего (человек), в том числе: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4.10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возбужденных производств по делам об административных правонарушениях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07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4.10.1</w:t>
            </w:r>
          </w:p>
        </w:tc>
        <w:tc>
          <w:tcPr>
            <w:tcW w:w="718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наложенных штрафов (тыс. руб.)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71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4.11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Устранено нарушений, недостатков,а также выполнено предложений по контрольным и экспертно-аналитическим мероприятиям, в том числе: (тыс. рублей)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32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4.11.1</w:t>
            </w:r>
          </w:p>
        </w:tc>
        <w:tc>
          <w:tcPr>
            <w:tcW w:w="5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возмещено денежными средствами в бюджет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32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4.11.2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возмещено путем выполнения работ и (или) оказания услуг в соответствии с заключенными контрактами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32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4.11.3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получены дополнительные доходы и (или) сэкономлены средства объекта контроля</w:t>
            </w:r>
          </w:p>
        </w:tc>
        <w:tc>
          <w:tcPr>
            <w:tcW w:w="15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7" w:hRule="atLeast"/>
        </w:trPr>
        <w:tc>
          <w:tcPr>
            <w:tcW w:w="83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4.11.4</w:t>
            </w:r>
          </w:p>
        </w:tc>
        <w:tc>
          <w:tcPr>
            <w:tcW w:w="5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616" w:type="dxa"/>
            <w:gridSpan w:val="5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предотвращено (устранено), в том числе неэффективного расходования бюджетных средств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71" w:hRule="atLeast"/>
        </w:trPr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4.12</w:t>
            </w:r>
          </w:p>
        </w:tc>
        <w:tc>
          <w:tcPr>
            <w:tcW w:w="718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информационных сообщений в СМИ (включая: интернет (сайты), газеты, журналы, информационные сборники, телевидение, радио) (ед.)</w:t>
            </w:r>
          </w:p>
        </w:tc>
        <w:tc>
          <w:tcPr>
            <w:tcW w:w="17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t xml:space="preserve">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hi-IN" w:bidi="hi-IN"/>
    </w:rPr>
  </w:style>
  <w:style w:type="paragraph" w:styleId="1">
    <w:name w:val="Heading 1"/>
    <w:basedOn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2">
    <w:name w:val="Heading 2"/>
    <w:basedOn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3">
    <w:name w:val="Heading 3"/>
    <w:basedOn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>
      <w:spacing w:lineRule="auto" w:line="288" w:before="0" w:after="140"/>
    </w:pPr>
    <w:rPr/>
  </w:style>
  <w:style w:type="paragraph" w:styleId="Style14">
    <w:name w:val="Caption"/>
    <w:basedOn w:val="Normal"/>
    <w:qFormat/>
    <w:pPr>
      <w:spacing w:before="120" w:after="120"/>
    </w:pPr>
    <w:rPr>
      <w:i/>
    </w:rPr>
  </w:style>
  <w:style w:type="paragraph" w:styleId="Style15">
    <w:name w:val="Указатель"/>
    <w:basedOn w:val="Normal"/>
    <w:qFormat/>
    <w:pPr/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Title"/>
    <w:basedOn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8">
    <w:name w:val="Subtitle"/>
    <w:basedOn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9">
    <w:name w:val="Колонтитул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10</Pages>
  <Words>1469</Words>
  <Characters>11380</Characters>
  <CharactersWithSpaces>14566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2024-09-30T16:35:25Z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