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9C" w:rsidRPr="002426B7" w:rsidRDefault="0081669C" w:rsidP="00676819">
      <w:pPr>
        <w:pStyle w:val="ConsPlusTitlePage"/>
        <w:pBdr>
          <w:top w:val="none" w:sz="0" w:space="0" w:color="auto"/>
          <w:left w:val="none" w:sz="0" w:space="0" w:color="auto"/>
          <w:bottom w:val="none" w:sz="0" w:space="0" w:color="auto"/>
          <w:right w:val="none" w:sz="0" w:space="0" w:color="auto"/>
          <w:bar w:val="none" w:sz="0" w:color="auto"/>
        </w:pBdr>
        <w:spacing w:after="0" w:line="360" w:lineRule="auto"/>
        <w:jc w:val="right"/>
        <w:rPr>
          <w:rFonts w:ascii="Times New Roman" w:hAnsi="Times New Roman" w:cs="Times New Roman"/>
          <w:color w:val="auto"/>
          <w:sz w:val="28"/>
          <w:szCs w:val="28"/>
        </w:rPr>
      </w:pPr>
      <w:r w:rsidRPr="002426B7">
        <w:rPr>
          <w:rFonts w:ascii="Times New Roman" w:hAnsi="Times New Roman"/>
          <w:color w:val="auto"/>
          <w:sz w:val="28"/>
          <w:szCs w:val="28"/>
        </w:rPr>
        <w:t>Проект</w:t>
      </w:r>
    </w:p>
    <w:p w:rsidR="0081669C" w:rsidRPr="002426B7"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360" w:lineRule="auto"/>
        <w:jc w:val="center"/>
        <w:outlineLvl w:val="0"/>
        <w:rPr>
          <w:rFonts w:ascii="Times New Roman" w:hAnsi="Times New Roman"/>
          <w:color w:val="auto"/>
          <w:sz w:val="28"/>
          <w:szCs w:val="28"/>
        </w:rPr>
      </w:pPr>
    </w:p>
    <w:p w:rsidR="0081669C" w:rsidRPr="002426B7"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360" w:lineRule="auto"/>
        <w:jc w:val="center"/>
        <w:outlineLvl w:val="0"/>
        <w:rPr>
          <w:rFonts w:ascii="Times New Roman" w:hAnsi="Times New Roman"/>
          <w:color w:val="auto"/>
          <w:sz w:val="28"/>
          <w:szCs w:val="28"/>
        </w:rPr>
      </w:pPr>
    </w:p>
    <w:p w:rsidR="0081669C" w:rsidRPr="00311238"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360" w:lineRule="auto"/>
        <w:jc w:val="center"/>
        <w:outlineLvl w:val="0"/>
        <w:rPr>
          <w:rFonts w:ascii="Times New Roman" w:hAnsi="Times New Roman" w:cs="Times New Roman"/>
          <w:color w:val="auto"/>
        </w:rPr>
      </w:pPr>
      <w:r w:rsidRPr="00311238">
        <w:rPr>
          <w:rFonts w:ascii="Times New Roman" w:hAnsi="Times New Roman" w:cs="Times New Roman"/>
          <w:color w:val="auto"/>
        </w:rPr>
        <w:t>ПРАВИТЕЛЬСТВО РОССИЙСКОЙ ФЕДЕРАЦИИ</w:t>
      </w:r>
    </w:p>
    <w:p w:rsidR="0081669C" w:rsidRPr="00311238"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360" w:lineRule="auto"/>
        <w:jc w:val="center"/>
        <w:rPr>
          <w:rFonts w:ascii="Times New Roman" w:hAnsi="Times New Roman" w:cs="Times New Roman"/>
          <w:color w:val="auto"/>
        </w:rPr>
      </w:pPr>
    </w:p>
    <w:p w:rsidR="0081669C" w:rsidRPr="00311238"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360" w:lineRule="auto"/>
        <w:jc w:val="center"/>
        <w:rPr>
          <w:rFonts w:ascii="Times New Roman" w:hAnsi="Times New Roman" w:cs="Times New Roman"/>
          <w:color w:val="auto"/>
        </w:rPr>
      </w:pPr>
      <w:r w:rsidRPr="00311238">
        <w:rPr>
          <w:rFonts w:ascii="Times New Roman" w:hAnsi="Times New Roman" w:cs="Times New Roman"/>
          <w:color w:val="auto"/>
        </w:rPr>
        <w:t>ПОСТАНОВЛЕНИЕ</w:t>
      </w:r>
    </w:p>
    <w:p w:rsidR="0081669C" w:rsidRPr="00311238"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360" w:lineRule="auto"/>
        <w:jc w:val="center"/>
        <w:rPr>
          <w:rFonts w:ascii="Times New Roman" w:hAnsi="Times New Roman" w:cs="Times New Roman"/>
          <w:color w:val="auto"/>
        </w:rPr>
      </w:pPr>
    </w:p>
    <w:p w:rsidR="0081669C" w:rsidRPr="00311238" w:rsidRDefault="0081669C" w:rsidP="003B1959">
      <w:pPr>
        <w:pStyle w:val="ConsPlusNormal"/>
        <w:pBdr>
          <w:top w:val="none" w:sz="0" w:space="0" w:color="auto"/>
          <w:left w:val="none" w:sz="0" w:space="0" w:color="auto"/>
          <w:bottom w:val="none" w:sz="0" w:space="0" w:color="auto"/>
          <w:right w:val="none" w:sz="0" w:space="0" w:color="auto"/>
          <w:bar w:val="none" w:sz="0" w:color="auto"/>
        </w:pBdr>
        <w:spacing w:line="240" w:lineRule="auto"/>
        <w:contextualSpacing/>
        <w:jc w:val="center"/>
        <w:rPr>
          <w:rFonts w:ascii="Times New Roman" w:hAnsi="Times New Roman" w:cs="Times New Roman"/>
          <w:b/>
          <w:bCs/>
          <w:color w:val="auto"/>
        </w:rPr>
      </w:pPr>
      <w:r w:rsidRPr="00311238">
        <w:rPr>
          <w:rFonts w:ascii="Times New Roman" w:hAnsi="Times New Roman" w:cs="Times New Roman"/>
          <w:b/>
          <w:bCs/>
          <w:color w:val="auto"/>
        </w:rPr>
        <w:t>О государственной поддержке российских организаций в</w:t>
      </w:r>
    </w:p>
    <w:p w:rsidR="0081669C" w:rsidRPr="00311238" w:rsidRDefault="0081669C" w:rsidP="003B1959">
      <w:pPr>
        <w:pStyle w:val="ConsPlusNormal"/>
        <w:pBdr>
          <w:top w:val="none" w:sz="0" w:space="0" w:color="auto"/>
          <w:left w:val="none" w:sz="0" w:space="0" w:color="auto"/>
          <w:bottom w:val="none" w:sz="0" w:space="0" w:color="auto"/>
          <w:right w:val="none" w:sz="0" w:space="0" w:color="auto"/>
          <w:bar w:val="none" w:sz="0" w:color="auto"/>
        </w:pBdr>
        <w:spacing w:line="240" w:lineRule="auto"/>
        <w:contextualSpacing/>
        <w:jc w:val="center"/>
        <w:rPr>
          <w:rFonts w:ascii="Times New Roman" w:hAnsi="Times New Roman" w:cs="Times New Roman"/>
          <w:b/>
          <w:bCs/>
          <w:color w:val="auto"/>
        </w:rPr>
      </w:pPr>
      <w:r w:rsidRPr="00311238">
        <w:rPr>
          <w:rFonts w:ascii="Times New Roman" w:hAnsi="Times New Roman" w:cs="Times New Roman"/>
          <w:b/>
          <w:bCs/>
          <w:color w:val="auto"/>
        </w:rPr>
        <w:t>целях реализации корпоративных программ международной</w:t>
      </w:r>
    </w:p>
    <w:p w:rsidR="0081669C" w:rsidRPr="00311238" w:rsidRDefault="0081669C" w:rsidP="003B1959">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jc w:val="center"/>
        <w:rPr>
          <w:rFonts w:ascii="Times New Roman" w:hAnsi="Times New Roman" w:cs="Times New Roman"/>
          <w:b/>
          <w:bCs/>
          <w:color w:val="auto"/>
        </w:rPr>
      </w:pPr>
      <w:r w:rsidRPr="00311238">
        <w:rPr>
          <w:rFonts w:ascii="Times New Roman" w:hAnsi="Times New Roman" w:cs="Times New Roman"/>
          <w:b/>
          <w:bCs/>
          <w:color w:val="auto"/>
        </w:rPr>
        <w:t>конкурентоспособности</w:t>
      </w:r>
    </w:p>
    <w:p w:rsidR="0081669C" w:rsidRPr="00311238" w:rsidRDefault="0081669C" w:rsidP="003B195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Правительство Российской Федерации постановляет:</w:t>
      </w:r>
    </w:p>
    <w:p w:rsidR="0081669C" w:rsidRPr="00311238" w:rsidRDefault="0081669C" w:rsidP="00676819">
      <w:pPr>
        <w:pStyle w:val="ConsPlusNormal"/>
        <w:numPr>
          <w:ilvl w:val="0"/>
          <w:numId w:val="1"/>
        </w:numPr>
        <w:pBdr>
          <w:top w:val="none" w:sz="0" w:space="0" w:color="auto"/>
          <w:left w:val="none" w:sz="0" w:space="0" w:color="auto"/>
          <w:bottom w:val="none" w:sz="0" w:space="0" w:color="auto"/>
          <w:right w:val="none" w:sz="0" w:space="0" w:color="auto"/>
          <w:bar w:val="none" w:sz="0" w:color="auto"/>
        </w:pBdr>
        <w:spacing w:after="0" w:line="360" w:lineRule="auto"/>
        <w:contextualSpacing/>
        <w:jc w:val="both"/>
        <w:rPr>
          <w:rFonts w:ascii="Times New Roman" w:hAnsi="Times New Roman" w:cs="Times New Roman"/>
          <w:color w:val="auto"/>
        </w:rPr>
      </w:pPr>
      <w:r w:rsidRPr="00311238">
        <w:rPr>
          <w:rFonts w:ascii="Times New Roman" w:hAnsi="Times New Roman" w:cs="Times New Roman"/>
          <w:color w:val="auto"/>
        </w:rPr>
        <w:t>Утвердить прилагаемые:</w:t>
      </w:r>
    </w:p>
    <w:p w:rsidR="0081669C" w:rsidRPr="00311238" w:rsidRDefault="0081669C" w:rsidP="00713B7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Правила формирования Единого перечня российских организаций, реализующих корпоративные программы международной конкурентоспособности;</w:t>
      </w:r>
    </w:p>
    <w:p w:rsidR="0081669C" w:rsidRPr="00311238" w:rsidRDefault="0081669C" w:rsidP="00713B7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Правила предоставления субсидий из федерального бюджета российским организациям федерального значения на финансовое обеспечение части затрат связанных с реализацией корпоративных программ международной конкурентоспособности;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Правила предоставления иных межбюджетных трансфертов из федерального бюджета бюджетам субъектов Российской Федерации на софинансирование затрат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w:t>
      </w:r>
    </w:p>
    <w:p w:rsidR="0081669C" w:rsidRPr="00311238" w:rsidRDefault="0081669C" w:rsidP="00DE6CAD">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типовые требования к корпоративной программе международной конкурентоспособности.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 Образовать Межведомственную комиссию по вопросам поддержки российских организаций, реализующих корпоративные программы международной конкурентоспособности и утвердить прилагаемое положение о Межведомственной комиссии.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3. Министерству промышленности и торговли Российской Федерации, Министерству финансов Российской Федерации при формировании федерального бюджета на период реализации федерального проекта «Промышленный экспорт» в составе национального проекта «Международная кооперация и экспорт» предусматривать бюджетные ассигнования в размерах, установленных указанным национальным проектом на цели реализации настоящего постановления.</w:t>
      </w:r>
    </w:p>
    <w:p w:rsidR="0081669C" w:rsidRPr="00311238" w:rsidRDefault="0081669C" w:rsidP="00311238">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4. Согласиться с предложением Министерства промышленности и торговли Российской Федерации и акционерного общества «Российский экспортный центр» об осуществлении указанным акционерным обществом функций по информационно-справочной поддержке граждан и организаций по вопросам реализации государственной поддержки российских организаций в целях реализации корпоративных программ международной конкурентоспособности, без выплаты вознаграждения за выполнение указанных функций.</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rPr>
          <w:rFonts w:ascii="Times New Roman" w:hAnsi="Times New Roman" w:cs="Times New Roman"/>
          <w:color w:val="auto"/>
        </w:rPr>
      </w:pPr>
      <w:r w:rsidRPr="00311238">
        <w:rPr>
          <w:rFonts w:ascii="Times New Roman" w:hAnsi="Times New Roman" w:cs="Times New Roman"/>
          <w:color w:val="auto"/>
        </w:rPr>
        <w:t>Председатель Правительства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tabs>
          <w:tab w:val="left" w:pos="7655"/>
        </w:tabs>
        <w:spacing w:after="0" w:line="240" w:lineRule="auto"/>
        <w:contextualSpacing/>
        <w:rPr>
          <w:rFonts w:ascii="Times New Roman" w:hAnsi="Times New Roman" w:cs="Times New Roman"/>
          <w:color w:val="auto"/>
        </w:rPr>
        <w:sectPr w:rsidR="0081669C" w:rsidRPr="00311238">
          <w:headerReference w:type="default" r:id="rId7"/>
          <w:pgSz w:w="11900" w:h="16840"/>
          <w:pgMar w:top="1134" w:right="567" w:bottom="1134" w:left="1134" w:header="709" w:footer="709" w:gutter="0"/>
          <w:cols w:space="720"/>
          <w:titlePg/>
          <w:rtlGutter/>
          <w:docGrid w:linePitch="326"/>
        </w:sectPr>
      </w:pPr>
      <w:r w:rsidRPr="00311238">
        <w:rPr>
          <w:rFonts w:ascii="Times New Roman" w:hAnsi="Times New Roman" w:cs="Times New Roman"/>
          <w:color w:val="auto"/>
        </w:rPr>
        <w:t>Российской Федерации</w:t>
      </w:r>
      <w:r w:rsidRPr="00311238">
        <w:rPr>
          <w:rFonts w:ascii="Times New Roman" w:hAnsi="Times New Roman" w:cs="Times New Roman"/>
          <w:color w:val="auto"/>
        </w:rPr>
        <w:tab/>
        <w:t xml:space="preserve">          Д.А. Медведев</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firstLine="6095"/>
        <w:jc w:val="center"/>
        <w:outlineLvl w:val="0"/>
        <w:rPr>
          <w:rFonts w:ascii="Times New Roman" w:hAnsi="Times New Roman" w:cs="Times New Roman"/>
          <w:color w:val="auto"/>
        </w:rPr>
      </w:pPr>
      <w:r w:rsidRPr="00311238">
        <w:rPr>
          <w:rFonts w:ascii="Times New Roman" w:hAnsi="Times New Roman" w:cs="Times New Roman"/>
          <w:color w:val="auto"/>
        </w:rPr>
        <w:t>Утверждены</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firstLine="6095"/>
        <w:jc w:val="center"/>
        <w:rPr>
          <w:rFonts w:ascii="Times New Roman" w:hAnsi="Times New Roman" w:cs="Times New Roman"/>
          <w:color w:val="auto"/>
        </w:rPr>
      </w:pPr>
      <w:r w:rsidRPr="00311238">
        <w:rPr>
          <w:rFonts w:ascii="Times New Roman" w:hAnsi="Times New Roman" w:cs="Times New Roman"/>
          <w:color w:val="auto"/>
        </w:rPr>
        <w:t>постановлением Правительства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firstLine="6095"/>
        <w:jc w:val="center"/>
        <w:rPr>
          <w:rFonts w:ascii="Times New Roman" w:hAnsi="Times New Roman" w:cs="Times New Roman"/>
          <w:color w:val="auto"/>
        </w:rPr>
      </w:pPr>
      <w:r w:rsidRPr="00311238">
        <w:rPr>
          <w:rFonts w:ascii="Times New Roman" w:hAnsi="Times New Roman" w:cs="Times New Roman"/>
          <w:color w:val="auto"/>
        </w:rPr>
        <w:t>Российской Федерации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firstLine="6095"/>
        <w:jc w:val="center"/>
        <w:rPr>
          <w:rFonts w:ascii="Times New Roman" w:hAnsi="Times New Roman" w:cs="Times New Roman"/>
          <w:color w:val="auto"/>
        </w:rPr>
      </w:pPr>
      <w:r w:rsidRPr="00311238">
        <w:rPr>
          <w:rFonts w:ascii="Times New Roman" w:hAnsi="Times New Roman" w:cs="Times New Roman"/>
          <w:color w:val="auto"/>
        </w:rPr>
        <w:t>от _______ г. № _________</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rPr>
          <w:rFonts w:ascii="Times New Roman" w:hAnsi="Times New Roman" w:cs="Times New Roman"/>
          <w:b/>
          <w:color w:val="auto"/>
        </w:r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color w:val="auto"/>
        </w:rPr>
      </w:pPr>
      <w:r w:rsidRPr="00311238">
        <w:rPr>
          <w:rFonts w:ascii="Times New Roman" w:hAnsi="Times New Roman" w:cs="Times New Roman"/>
          <w:b/>
          <w:color w:val="auto"/>
        </w:rPr>
        <w:t xml:space="preserve">ПРАВИЛА </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color w:val="auto"/>
        </w:rPr>
      </w:pPr>
      <w:r w:rsidRPr="00311238">
        <w:rPr>
          <w:rFonts w:ascii="Times New Roman" w:hAnsi="Times New Roman" w:cs="Times New Roman"/>
          <w:b/>
          <w:color w:val="auto"/>
        </w:rPr>
        <w:t>формирования Единого перечня российских организаций, реализующих корпоративные программы международной конкурентоспособности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1. Настоящие Правила устанавливают порядок формирования Единого перечня российских организаций, реализующих корпоративные программы международной конкурентоспособности (далее – Единый перечень).</w:t>
      </w:r>
    </w:p>
    <w:p w:rsidR="0081669C" w:rsidRPr="00311238" w:rsidRDefault="0081669C" w:rsidP="004703FF">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 В целях реализации настоящих Правил, Правил предоставления субсидий из федерального бюджета российским организациям федерального значения на финансовое обеспечение части затрат связанных с реализацией корпоративных программ международной конкурентоспособности, утверждённых постановлением Правительства Российской Федерации от   № (далее – Правил предоставления субсидий из федерального бюджета российским организациям федерального значения, субсидия), а также Правил предоставления иных межбюджетных трансфертов из федерального бюджета бюджетам субъектов Российской Федерации на софинансирование затрат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 утвержденных постановлением Правительства Российской Федерации от  № (далее – Правил предоставления иных межбюджетных трансфертов, субсидия), используются следующие термины и понятия:</w:t>
      </w:r>
    </w:p>
    <w:p w:rsidR="0081669C" w:rsidRPr="00311238" w:rsidRDefault="0081669C" w:rsidP="004703FF">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«российские организации реализующие корпоративные программы международной конкурентоспособности» – российские организации федерального значения и российские организации, производители российской промышленной продукции;</w:t>
      </w:r>
    </w:p>
    <w:p w:rsidR="0081669C" w:rsidRPr="00311238" w:rsidRDefault="0081669C" w:rsidP="004703FF">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«российские организации федерального значения» – системообразующие предприятия включенные в Перечень, утвержденный Правительством Российской Федерации (протокол заседания Правительственной комиссии по экономическому развитию и интеграции от 5 февраля 2015 г. № 1), и их дочерние и зависимые общества, а также:</w:t>
      </w:r>
    </w:p>
    <w:p w:rsidR="0081669C" w:rsidRPr="00311238" w:rsidRDefault="0081669C" w:rsidP="004703FF">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российские организации, производители российской промышленной продукции, не прошедшие отбор в соответствии с Правилами предоставления иных межбюджетных трансфертов,</w:t>
      </w:r>
      <w:r w:rsidRPr="00311238">
        <w:rPr>
          <w:rFonts w:ascii="Times New Roman" w:hAnsi="Times New Roman" w:cs="Times New Roman"/>
        </w:rPr>
        <w:t xml:space="preserve"> </w:t>
      </w:r>
      <w:r w:rsidRPr="00311238">
        <w:rPr>
          <w:rFonts w:ascii="Times New Roman" w:hAnsi="Times New Roman" w:cs="Times New Roman"/>
          <w:color w:val="auto"/>
        </w:rPr>
        <w:t>либо получившие отказ в заключении соглашения о предоставлении субсидии в соответствии с указанными Правилами;</w:t>
      </w:r>
    </w:p>
    <w:p w:rsidR="0081669C" w:rsidRPr="00311238" w:rsidRDefault="0081669C" w:rsidP="004703FF">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производители продукции, корпоративные программы международной конкурентоспособности которых по решению высшего должностного лица (руководителя высшего исполнительного органа государственной власти) субъекта Российской Федерации не могут быть софинансированы из бюджета субъекта Российской Федерации;</w:t>
      </w:r>
    </w:p>
    <w:p w:rsidR="0081669C" w:rsidRPr="00311238" w:rsidRDefault="0081669C" w:rsidP="00117D9D">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 «российские организации, производители российской промышленной продукции» – субъекты, осуществляющие деятельность в сфере промышленности в соответствии с Федеральным законом от 31 декабря 2014 г. №488-ФЗ «О промышленной политике в Российской Федерации»;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90620B">
        <w:rPr>
          <w:rFonts w:ascii="Times New Roman" w:hAnsi="Times New Roman" w:cs="Times New Roman"/>
          <w:color w:val="auto"/>
        </w:rPr>
        <w:t>«корпоративная программа международной конкурентоспособности» – программа до 2024 года российской организации федерального значения или российской организации, производителя российской промышленной продукции, направленная на повышение международной конкурентоспособности конкурентоспособной промышленной продукции, увеличение объемов производства и реализации такой продукции;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«отраслевые лимиты» – распределенные по отраслям промышленности бюджетные ассигнования, предусмотренные в федеральном законе о федеральном бюджете на соответствующий финансовый год и плановый период, и лимиты бюджетных обязательств, доведенные в установленном порядке до Министерства промышленности и торговли Российской Федерации, как получателя средств федерального бюджета, а также бюджетные ассигнования, предусмотренные в законе о бюджете субъекта Российской Федерации на соответствующий финансовый год и плановый период, и лимиты бюджетных обязательств, доведенные в установленном порядке до уполномоченного органа государственной власти субъекта Российской Федерации как получателя средств бюджета субъекта Российской Федерации, на цели поддержки деятельности производителей российской промышленной продукции, направленной на повышение конкурентоспособности, увеличение объемов производства и реализации такой продукции;</w:t>
      </w:r>
    </w:p>
    <w:p w:rsidR="0081669C" w:rsidRPr="0090620B"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90620B">
        <w:rPr>
          <w:rFonts w:ascii="Times New Roman" w:hAnsi="Times New Roman" w:cs="Times New Roman"/>
          <w:color w:val="auto"/>
        </w:rPr>
        <w:t>«конкурентоспособная продукция» – промышленная продукция, пользующаяся спросом на территории Российской Федерации и за рубежом и соответствующая значениям показателя, указанным в пункте 11 настоящих Правил.</w:t>
      </w:r>
    </w:p>
    <w:p w:rsidR="0081669C" w:rsidRPr="0090620B" w:rsidRDefault="0081669C" w:rsidP="008B20A0">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3. В Единый перечень включаются</w:t>
      </w:r>
      <w:r w:rsidRPr="0090620B">
        <w:rPr>
          <w:sz w:val="22"/>
          <w:szCs w:val="22"/>
          <w:lang w:val="ru-RU"/>
        </w:rPr>
        <w:t xml:space="preserve"> </w:t>
      </w:r>
      <w:r w:rsidRPr="0090620B">
        <w:rPr>
          <w:color w:val="auto"/>
          <w:sz w:val="22"/>
          <w:szCs w:val="22"/>
          <w:lang w:val="ru-RU"/>
        </w:rPr>
        <w:t>российские организации, реализующие корпоративные программы международной конкурентоспособности.</w:t>
      </w:r>
    </w:p>
    <w:p w:rsidR="0081669C" w:rsidRPr="0090620B" w:rsidRDefault="0081669C" w:rsidP="008B20A0">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4. Единый перечень формируется из российских организаций федерального значения, прошедших отбор в соответствии с настоящими Правилами и Правилами предоставления субсидий из федерального бюджета российским организациям федерального значения, и российских организаций, производителей российской промышленной продукции, прошедших отбор в соответствии с Правилами предоставления иных межбюджетных трансфертов, перечень которых представлен высшим должностным лицом (руководителем высшего исполнительного органа государственной власти) субъекта Российской Федерации, в соответствии с формой приведенной в приложении к настоящим Правилам (за исключением столбцов 24 – 26).</w:t>
      </w:r>
    </w:p>
    <w:p w:rsidR="0081669C" w:rsidRPr="00311238" w:rsidRDefault="0081669C" w:rsidP="0058374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Проведение отбора российских организаций федерального</w:t>
      </w:r>
      <w:r w:rsidRPr="00311238">
        <w:rPr>
          <w:color w:val="auto"/>
          <w:sz w:val="22"/>
          <w:szCs w:val="22"/>
          <w:lang w:val="ru-RU"/>
        </w:rPr>
        <w:t xml:space="preserve"> значения осуществляется Межведомственной комиссией по вопросам поддержки российских организаций, реализующих корпоративные программы международной конкурентоспособности (далее – Межведомственная комиссия) в соответствии с пунктом 12 Правил предоставления субсидий из федерального бюджета российским организациям федерального значения.</w:t>
      </w:r>
    </w:p>
    <w:p w:rsidR="0081669C" w:rsidRPr="00311238" w:rsidRDefault="0081669C" w:rsidP="008B20A0">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5. В целях формирования Единого перечня Межведомственной комиссией, по форме приведенной в приложении к настоящим Правилам, проводится:</w:t>
      </w:r>
    </w:p>
    <w:p w:rsidR="0081669C" w:rsidRPr="00311238" w:rsidRDefault="0081669C" w:rsidP="004D21C1">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а) определение показателя ожидаемой общей результативности использования субсидии российскими организациями, реализующими корпоративные программы международной конкурентоспособности в соответствии с пунктом 8 настоящих Правила;</w:t>
      </w:r>
    </w:p>
    <w:p w:rsidR="0081669C" w:rsidRPr="00311238" w:rsidRDefault="0081669C" w:rsidP="004D21C1">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б) структурирование российских организаций, реализующих корпоративные программы международной конкурентоспособности, по отраслям промышленности: в машиностроении: автомобилестроение, железнодорожное, сельхозмашиностроение, строительно-дорожное и пищевое, станкоинструментальное, тяжелое машиностроение, нефтегазовое машиностроение, энергетическое машиностроение, судостроение; химическая промышленность; металлургическая промышленность; лесопромышленный комплекс; фармацевтическая и косметическая промышленность; легкая промышленность; прочие отрасли промышленности;</w:t>
      </w:r>
    </w:p>
    <w:p w:rsidR="0081669C" w:rsidRPr="00311238" w:rsidRDefault="0081669C" w:rsidP="002A0767">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в) ранжирование российских организаций, реализующих корпоративные программы международной конкурентоспособности, в рамках отраслей промышленности на основании показателя ожидаемой общей результативности использования субсидии от организации с наивысшими показателями к организации с наинизшими показателями;</w:t>
      </w:r>
    </w:p>
    <w:p w:rsidR="0081669C" w:rsidRPr="00311238" w:rsidRDefault="0081669C" w:rsidP="002A0767">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г) распределение отраслевых лимитов в соответствии с пунктом 9 настоящих Правил, по годам реализации корпоративной программы международной конкурентоспособности;</w:t>
      </w:r>
    </w:p>
    <w:p w:rsidR="0081669C" w:rsidRPr="00311238" w:rsidRDefault="0081669C" w:rsidP="002729BA">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д) суммирование заявленных сумм субсидий российскими организациями, реализующими корпоративные программы международной конкурентоспособности, в рамках отраслей промышленности начиная с организации с наивысшим рангом и далее до исчерпания соответствующего отраслевого лимита;</w:t>
      </w:r>
    </w:p>
    <w:p w:rsidR="0081669C" w:rsidRPr="00311238" w:rsidRDefault="0081669C" w:rsidP="00F578EB">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е) указание получателей субсидии – российских организаций федерального значения, с которыми в соответствии с Правилами предоставления субсидий из федерального бюджета российским организациям федерального значения могут быть заключены соглашения о предоставлении субсидии и получателей субсидии – российских организаций, производителей российской промышленной продукции, с которыми в соответствии с Правилами предоставления иных межбюджетных трансфертов могут быть заключены соглашения о предоставлении субсидии.</w:t>
      </w:r>
    </w:p>
    <w:p w:rsidR="0081669C" w:rsidRPr="00311238" w:rsidRDefault="0081669C" w:rsidP="0067681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6. Межведомственной комиссией утверждается сформированный в соответствии с пунктом 5 настоящих Правил Единый перечень.</w:t>
      </w:r>
    </w:p>
    <w:p w:rsidR="0081669C" w:rsidRPr="00311238" w:rsidRDefault="0081669C" w:rsidP="0067681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Решения Межведомственной комиссии могут быть обжалованы в судебном порядке, в соответствии с законодательством Российской Федерации.</w:t>
      </w:r>
    </w:p>
    <w:p w:rsidR="0081669C" w:rsidRPr="00311238" w:rsidRDefault="0081669C" w:rsidP="004D4442">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Единый перечень размещается в государственной информационной системе промышленности в информационного-телекоммуникационной сети Интернет в 3-дневный срок со дня его утверждения Межведомственной комиссией.</w:t>
      </w:r>
    </w:p>
    <w:p w:rsidR="0081669C" w:rsidRPr="00311238" w:rsidRDefault="0081669C" w:rsidP="004D4442">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Ограничение доступа к сведениям, содержащимся в Едином перечне, для зарегистрированных пользователей не допускается.</w:t>
      </w:r>
    </w:p>
    <w:p w:rsidR="0081669C" w:rsidRPr="00311238" w:rsidRDefault="0081669C" w:rsidP="003E4650">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7. Межведомственной комиссией направляется:</w:t>
      </w:r>
    </w:p>
    <w:p w:rsidR="0081669C" w:rsidRPr="0090620B" w:rsidRDefault="0081669C" w:rsidP="003E4650">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 xml:space="preserve">а) в Министерство промышленности и торговли Российской Федерации перечень российских организациях федерального значения, включенных в Единый перечень, содержащий информацию о российских </w:t>
      </w:r>
      <w:r w:rsidRPr="0090620B">
        <w:rPr>
          <w:color w:val="auto"/>
          <w:sz w:val="22"/>
          <w:szCs w:val="22"/>
          <w:lang w:val="ru-RU"/>
        </w:rPr>
        <w:t>организациях федерального значения – получателях субсидии, с которыми могут быть заключены соглашения;</w:t>
      </w:r>
    </w:p>
    <w:p w:rsidR="0081669C" w:rsidRPr="0090620B" w:rsidRDefault="0081669C" w:rsidP="003E4650">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б) высшему должностному лицу (руководителю высшего исполнительного органа государственной власти) субъекта Российской Федерации перечень российских организациях, производителей российской промышленной продукции, включенных в Единый перечень, содержащий информацию о российских организациях, производителях российской промышленной продукции – получателях субсидии, с которыми могут быть заключены соглашения.</w:t>
      </w:r>
    </w:p>
    <w:p w:rsidR="0081669C" w:rsidRPr="0090620B" w:rsidRDefault="0081669C" w:rsidP="0067681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8. Показатель ожидаемой общей результативности использования субсидии, исчисляется с начала реализации корпоративной программы международной конкурентоспособности:</w:t>
      </w:r>
    </w:p>
    <w:p w:rsidR="0081669C" w:rsidRPr="0090620B" w:rsidRDefault="0081669C" w:rsidP="008B20A0">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90620B">
        <w:rPr>
          <w:color w:val="auto"/>
          <w:sz w:val="22"/>
          <w:szCs w:val="22"/>
        </w:rPr>
        <w:t>R</w:t>
      </w:r>
      <w:r w:rsidRPr="0090620B">
        <w:rPr>
          <w:color w:val="auto"/>
          <w:sz w:val="22"/>
          <w:szCs w:val="22"/>
          <w:lang w:val="ru-RU"/>
        </w:rPr>
        <w:t xml:space="preserve"> = </w:t>
      </w:r>
      <w:r w:rsidRPr="0090620B">
        <w:rPr>
          <w:color w:val="auto"/>
          <w:sz w:val="22"/>
          <w:szCs w:val="22"/>
        </w:rPr>
        <w:t>L</w:t>
      </w:r>
      <w:r w:rsidRPr="0090620B">
        <w:rPr>
          <w:color w:val="auto"/>
          <w:sz w:val="22"/>
          <w:szCs w:val="22"/>
          <w:lang w:val="ru-RU"/>
        </w:rPr>
        <w:t>*(</w:t>
      </w:r>
      <w:r w:rsidRPr="0090620B">
        <w:rPr>
          <w:color w:val="auto"/>
          <w:sz w:val="22"/>
          <w:szCs w:val="22"/>
        </w:rPr>
        <w:t>ДS</w:t>
      </w:r>
      <w:r w:rsidRPr="0090620B">
        <w:rPr>
          <w:color w:val="auto"/>
          <w:sz w:val="22"/>
          <w:szCs w:val="22"/>
          <w:lang w:val="ru-RU"/>
        </w:rPr>
        <w:t xml:space="preserve">2019*1,6 + </w:t>
      </w:r>
      <w:r w:rsidRPr="0090620B">
        <w:rPr>
          <w:color w:val="auto"/>
          <w:sz w:val="22"/>
          <w:szCs w:val="22"/>
        </w:rPr>
        <w:t>ДS</w:t>
      </w:r>
      <w:r w:rsidRPr="0090620B">
        <w:rPr>
          <w:color w:val="auto"/>
          <w:sz w:val="22"/>
          <w:szCs w:val="22"/>
          <w:lang w:val="ru-RU"/>
        </w:rPr>
        <w:t xml:space="preserve">2020*1,5 + </w:t>
      </w:r>
      <w:r w:rsidRPr="0090620B">
        <w:rPr>
          <w:color w:val="auto"/>
          <w:sz w:val="22"/>
          <w:szCs w:val="22"/>
        </w:rPr>
        <w:t>ДS</w:t>
      </w:r>
      <w:r w:rsidRPr="0090620B">
        <w:rPr>
          <w:color w:val="auto"/>
          <w:sz w:val="22"/>
          <w:szCs w:val="22"/>
          <w:lang w:val="ru-RU"/>
        </w:rPr>
        <w:t xml:space="preserve">2021*1,4 + </w:t>
      </w:r>
      <w:r w:rsidRPr="0090620B">
        <w:rPr>
          <w:color w:val="auto"/>
          <w:sz w:val="22"/>
          <w:szCs w:val="22"/>
        </w:rPr>
        <w:t>ДS</w:t>
      </w:r>
      <w:r w:rsidRPr="0090620B">
        <w:rPr>
          <w:color w:val="auto"/>
          <w:sz w:val="22"/>
          <w:szCs w:val="22"/>
          <w:lang w:val="ru-RU"/>
        </w:rPr>
        <w:t xml:space="preserve">2022*1,3 + </w:t>
      </w:r>
      <w:r w:rsidRPr="0090620B">
        <w:rPr>
          <w:color w:val="auto"/>
          <w:sz w:val="22"/>
          <w:szCs w:val="22"/>
        </w:rPr>
        <w:t>ДS</w:t>
      </w:r>
      <w:r w:rsidRPr="0090620B">
        <w:rPr>
          <w:color w:val="auto"/>
          <w:sz w:val="22"/>
          <w:szCs w:val="22"/>
          <w:lang w:val="ru-RU"/>
        </w:rPr>
        <w:t xml:space="preserve">2023*1,2 + </w:t>
      </w:r>
      <w:r w:rsidRPr="0090620B">
        <w:rPr>
          <w:color w:val="auto"/>
          <w:sz w:val="22"/>
          <w:szCs w:val="22"/>
        </w:rPr>
        <w:t>ДS</w:t>
      </w:r>
      <w:r w:rsidRPr="0090620B">
        <w:rPr>
          <w:color w:val="auto"/>
          <w:sz w:val="22"/>
          <w:szCs w:val="22"/>
          <w:lang w:val="ru-RU"/>
        </w:rPr>
        <w:t>2024*1)/</w:t>
      </w:r>
      <w:r w:rsidRPr="0090620B">
        <w:rPr>
          <w:color w:val="auto"/>
          <w:sz w:val="22"/>
          <w:szCs w:val="22"/>
        </w:rPr>
        <w:t>V</w:t>
      </w:r>
      <w:r w:rsidRPr="0090620B">
        <w:rPr>
          <w:color w:val="auto"/>
          <w:sz w:val="22"/>
          <w:szCs w:val="22"/>
          <w:lang w:val="ru-RU"/>
        </w:rPr>
        <w:t xml:space="preserve"> , где: </w:t>
      </w:r>
    </w:p>
    <w:p w:rsidR="0081669C" w:rsidRPr="0090620B" w:rsidRDefault="0081669C" w:rsidP="008B20A0">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90620B">
        <w:rPr>
          <w:color w:val="auto"/>
          <w:sz w:val="22"/>
          <w:szCs w:val="22"/>
        </w:rPr>
        <w:t>L</w:t>
      </w:r>
      <w:r w:rsidRPr="0090620B">
        <w:rPr>
          <w:color w:val="auto"/>
          <w:sz w:val="22"/>
          <w:szCs w:val="22"/>
          <w:lang w:val="ru-RU"/>
        </w:rPr>
        <w:t xml:space="preserve"> – коэффициент, учитывающий уровень локализации производства промышленной продукции на территории Российской Федерации. Значение показателя </w:t>
      </w:r>
      <w:r w:rsidRPr="0090620B">
        <w:rPr>
          <w:color w:val="auto"/>
          <w:sz w:val="22"/>
          <w:szCs w:val="22"/>
        </w:rPr>
        <w:t>L</w:t>
      </w:r>
      <w:r w:rsidRPr="0090620B">
        <w:rPr>
          <w:color w:val="auto"/>
          <w:sz w:val="22"/>
          <w:szCs w:val="22"/>
          <w:lang w:val="ru-RU"/>
        </w:rPr>
        <w:t xml:space="preserve"> принимается равным 1 для промышленной продукции на которую получено заключение о 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 № 719 (далее – заключение), (за исключением фармацевтической продукции и продукции, в отношении которой заключен специальный инвестиционный контракт, стороной которого является Российская Федерация) и равным 0,5 для промышленной продукции, на которую заключение не получено. Значение показателя L принимается равным 1 для фармацевтической продукции на которую получен сертификат по форме СТ-1, выдаваемый в соответствии с Соглашением о Правилах определения страны происхождения товаров в Содружестве Независимых Государств от 20 ноября 2009 г. (далее – сертификат по форме СТ-1), и равным 0,5 для фармацевтической продукции, на которую сертификат по форме СТ-1 не получен. Значение показателя L принимается равным 1,5 для продукции, в отношении которой заключен специальный инвестиционный контракт, стороной которого является Российская Федерация.</w:t>
      </w:r>
    </w:p>
    <w:p w:rsidR="0081669C" w:rsidRPr="0090620B" w:rsidRDefault="0081669C" w:rsidP="0067681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rPr>
        <w:t>ДSt</w:t>
      </w:r>
      <w:r w:rsidRPr="0090620B">
        <w:rPr>
          <w:color w:val="auto"/>
          <w:sz w:val="22"/>
          <w:szCs w:val="22"/>
          <w:lang w:val="ru-RU"/>
        </w:rPr>
        <w:t xml:space="preserve"> – показатель результативности использования субсидии в </w:t>
      </w:r>
      <w:r w:rsidRPr="0090620B">
        <w:rPr>
          <w:color w:val="auto"/>
          <w:sz w:val="22"/>
          <w:szCs w:val="22"/>
        </w:rPr>
        <w:t>t</w:t>
      </w:r>
      <w:r w:rsidRPr="0090620B">
        <w:rPr>
          <w:color w:val="auto"/>
          <w:sz w:val="22"/>
          <w:szCs w:val="22"/>
          <w:lang w:val="ru-RU"/>
        </w:rPr>
        <w:t xml:space="preserve">-м году, рассчитанный в соответствии с пунктом 6 настоящих Правил; </w:t>
      </w:r>
    </w:p>
    <w:p w:rsidR="0081669C" w:rsidRPr="0090620B" w:rsidRDefault="0081669C" w:rsidP="00323BAE">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rPr>
        <w:t>V</w:t>
      </w:r>
      <w:r w:rsidRPr="0090620B">
        <w:rPr>
          <w:color w:val="auto"/>
          <w:sz w:val="22"/>
          <w:szCs w:val="22"/>
          <w:lang w:val="ru-RU"/>
        </w:rPr>
        <w:t xml:space="preserve"> – общий объем субсидии, испрашиваемой из средств бюджетов бюджетной системы Российской Федерации на реализацию корпоративной программы международной конкурентоспособности до 2024 года, направленной на повышение конкурентоспособности, увеличение объемов производства и реализацию промышленной продукции.</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Для целей ранжирования показатель R не может быть меньше следующих значений:</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а) в машиностроении – 5;</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б) в химической промышленности – 15;</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в) в металлургической промышленности – 15;</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г) в лесопромышленном комплексе – 5;</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д) в фармацевтической и косметической промышленности – 5;</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е) в легкой промышленности – 5;</w:t>
      </w:r>
    </w:p>
    <w:p w:rsidR="0081669C" w:rsidRPr="0090620B" w:rsidRDefault="0081669C" w:rsidP="0054733F">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ж) в прочих отраслях промышленности – 5.</w:t>
      </w:r>
    </w:p>
    <w:p w:rsidR="0081669C" w:rsidRPr="0090620B" w:rsidRDefault="0081669C" w:rsidP="0031658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8. Показателем результативности использования субсидии в каждом году реализации проекта является ДSt – прирост объема выручки от реализации конкурентоспособной продукции, являющейся предметом деятельности российских организаций, реализующих корпоративные программы международной конкурентоспособности, включенных в Единый перечень, в отчетном году t (нарастающим итогом) по сравнению с предшествующим годом:</w:t>
      </w:r>
    </w:p>
    <w:p w:rsidR="0081669C" w:rsidRPr="0090620B" w:rsidRDefault="0081669C" w:rsidP="0031658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 xml:space="preserve">ДSt = St – St-1 ,  </w:t>
      </w:r>
    </w:p>
    <w:p w:rsidR="0081669C" w:rsidRPr="0090620B" w:rsidRDefault="0081669C" w:rsidP="0031658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где:</w:t>
      </w:r>
    </w:p>
    <w:p w:rsidR="0081669C" w:rsidRPr="0090620B" w:rsidRDefault="0081669C" w:rsidP="0031658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 xml:space="preserve">St – показатель выручки от реализации конкурентоспособной продукции, в отчетном году t,  </w:t>
      </w:r>
    </w:p>
    <w:p w:rsidR="0081669C" w:rsidRPr="00311238" w:rsidRDefault="0081669C" w:rsidP="0031658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90620B">
        <w:rPr>
          <w:color w:val="auto"/>
          <w:sz w:val="22"/>
          <w:szCs w:val="22"/>
          <w:lang w:val="ru-RU"/>
        </w:rPr>
        <w:t>St-1 – показатель выручки от реализации конкурентоспособной продукции, в предшествующем году</w:t>
      </w:r>
    </w:p>
    <w:p w:rsidR="0081669C" w:rsidRPr="00311238" w:rsidRDefault="0081669C" w:rsidP="0031658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9. Предварительные отраслевые лимиты (в процентах от бюджетных ассигнований и лимитов бюджетных обязательств, предусмотренных пунктом 2 настоящих Правил) составляют:</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а) в машиностроении – 36,9 %, из них:</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автомобилестроение – 61,5 %;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 железнодорожное – 5 %;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 сельхозмашиностроение, строительно-дорожное и пищевое – 15 %;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станкоинструментальное – 0,7 %;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тяжелое машиностроение – 2,9 %;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 нефтегазовое машиностроение – 2,9 %;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энергетическое машиностроение – 5,7 %;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судостроение – 6,3 %;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б) в химической промышленности – 16,5 %;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в) в металлургической промышленности – 28,3 %;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г) в лесопромышленном комплексе – 7 %;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д) в фармацевтической и косметической промышленности – 5 %;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е) в легкой промышленности – 3,3 %;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ж) в прочих отраслях промышленности – 3 %.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Межведомственная комиссия вправе перераспределить предварительные отраслевые лимиты по результатам рассмотрения общих объемов субсидии, испрашиваемых российскими организациями, реализующими корпоративные программы международной конкурентоспособности из средств бюджетов бюджетной системы Российской Федерации на реализацию корпоративных программ международной конкурентоспособности, в пределах лимитов бюджетных обязательств, предусмотренных в федеральном бюджете, и бюджете субъектов Российской Федерации на цели, предусмотренные пунктом 2 Правил предоставления субсидий из федерального бюджета российским организациям федерального значения и пунктом 2 Правил предоставления иных межбюджетных трансфертов.</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10. Предельный (максимальный) размер субсидий из федерального бюджета, субсидий из бюджетов субъектов Российской Федерации на цели, предусмотренные пунктом 2 Правил предоставления субсидий из федерального бюджета российским организациям федерального значения и пунктом 2 Правил предоставления иных межбюджетных трансфертов, составляют:</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а) в машиностроении:</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автомобилестроение – 18 000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железнодорожное – 9 000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 сельхозмашиностроение, строительно-дорожное и пищевое – 1 500 млн. рублей;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станкоинструментальное – 3 000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тяжелое машиностроение – 3 000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 нефтегазовое машиностроение – 4 000 млн. рублей;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энергетическое машиностроение – 7 000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судостроение – 1 800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б) в химической промышленности – 9 000 млн. рублей;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в) в металлургической промышленности – 1 200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г) в лесопромышленном комплексе – 7 000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д) в фармацевтической и косметической промышленности – 2 500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е) в легкой промышленности – 1 500 млн. рублей;</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 xml:space="preserve">ж) в прочих отраслях промышленности – 300 млн. рублей. </w:t>
      </w:r>
    </w:p>
    <w:p w:rsidR="0081669C" w:rsidRPr="00311238" w:rsidRDefault="0081669C" w:rsidP="007D49F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11. Показателем конкурентоспособности продукции является доля объема выручки от реализации продукции на внешнем рынке в общем объеме выручки от реализации продукции до 2024.</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Значения показателя конкурентоспособности продукции составляют:</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а) в машиностроении: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автомобилестроение – 10 %;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 железнодорожное – 10 %;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 сельхозмашиностроение, строительно-дорожное и пищевое – 20 %;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станкоинструментальное – 5 %;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тяжелое машиностроение – 8,9 %;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 нефтегазовое машиностроение – 11 %;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энергетическое машиностроение – 5 %;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судостроение – 9,1 %;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в химической промышленности – 10 %;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минеральные удобрения, метанол – 30 %;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шины – 25 %;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аммиак – 15 %;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 прочая химическая промышленность – 5 %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в) в металлургической промышленности – 10 %;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г) в лесопромышленном комплексе – 50 %;</w:t>
      </w: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д) в фармацевтической и косметической промышленности –  7%;</w:t>
      </w:r>
    </w:p>
    <w:p w:rsidR="0081669C" w:rsidRPr="00311238" w:rsidRDefault="0081669C" w:rsidP="0095793B">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е) в легкой промышленности – 10 %;</w:t>
      </w:r>
    </w:p>
    <w:p w:rsidR="0081669C" w:rsidRPr="00311238" w:rsidRDefault="0081669C" w:rsidP="0095793B">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ж) в прочих отраслях промышленности – 1 %.</w:t>
      </w:r>
    </w:p>
    <w:p w:rsidR="0081669C" w:rsidRPr="00311238" w:rsidRDefault="0081669C" w:rsidP="0095793B">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12. Министерство промышленности и торговли Российской Федерации не позднее 15 рабочих дней со дня утверждения Межведомственной комиссией Единого перечня вносит в Правительство Российской Федерации:</w:t>
      </w:r>
    </w:p>
    <w:p w:rsidR="0081669C" w:rsidRPr="00311238" w:rsidRDefault="0081669C" w:rsidP="00DE58E1">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а) проект изменений в паспорт федерального проекта «Промышленный экспорт» в составе национального проекта «Международная кооперация и экспорт», предусматривающий перераспределение бюджетных ассигнований на цели, предусмотренные пунктом 2 Правил предоставления субсидий из федерального бюджета российским организациям федерального значения, и на цели, предусмотренные пунктом 2 Правил предоставления иных межбюджетных трансфертов, пропорционально соотношению совокупного объема субсидий производителям федерального значения и совокупного объема субсидий иным производителям (без учета средств бюджетов субъектов Российской Федерации на указанные цели) в случае, если необходимость такого распределения вытекает из указанного соотношения;</w:t>
      </w:r>
    </w:p>
    <w:p w:rsidR="0081669C" w:rsidRPr="00311238" w:rsidRDefault="0081669C" w:rsidP="00DE58E1">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б) проект распоряжения Правительства Российской Федерации, предусматривающий распределение между бюджетами субъектов Российской Федерации иных межбюджетных трансфертов из федерального бюджета исходя из утвержденного Единого перечня.</w:t>
      </w:r>
    </w:p>
    <w:p w:rsidR="0081669C" w:rsidRPr="00311238" w:rsidRDefault="0081669C" w:rsidP="0095793B">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p>
    <w:p w:rsidR="0081669C" w:rsidRPr="00311238"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p>
    <w:p w:rsidR="0081669C" w:rsidRPr="007D49F7" w:rsidRDefault="0081669C" w:rsidP="007D49F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sz w:val="28"/>
          <w:szCs w:val="28"/>
        </w:rPr>
        <w:sectPr w:rsidR="0081669C" w:rsidRPr="007D49F7">
          <w:pgSz w:w="11900" w:h="16840"/>
          <w:pgMar w:top="1134" w:right="567" w:bottom="1134" w:left="1134" w:header="709" w:footer="709" w:gutter="0"/>
          <w:pgNumType w:start="1"/>
          <w:cols w:space="720"/>
          <w:titlePg/>
          <w:rtlGutter/>
          <w:docGrid w:linePitch="326"/>
        </w:sectPr>
      </w:pPr>
    </w:p>
    <w:p w:rsidR="0081669C" w:rsidRDefault="0081669C" w:rsidP="00D27D76">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8080"/>
        <w:jc w:val="center"/>
        <w:outlineLvl w:val="0"/>
        <w:rPr>
          <w:rFonts w:ascii="Times New Roman" w:hAnsi="Times New Roman"/>
          <w:color w:val="auto"/>
          <w:sz w:val="28"/>
          <w:szCs w:val="28"/>
        </w:rPr>
      </w:pPr>
      <w:r>
        <w:rPr>
          <w:rFonts w:ascii="Times New Roman" w:hAnsi="Times New Roman"/>
          <w:color w:val="auto"/>
          <w:sz w:val="28"/>
          <w:szCs w:val="28"/>
        </w:rPr>
        <w:t xml:space="preserve">Приложение </w:t>
      </w:r>
    </w:p>
    <w:p w:rsidR="0081669C" w:rsidRPr="00D27D76" w:rsidRDefault="0081669C" w:rsidP="009537E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8080"/>
        <w:jc w:val="center"/>
        <w:outlineLvl w:val="0"/>
        <w:rPr>
          <w:rFonts w:ascii="Times New Roman" w:hAnsi="Times New Roman" w:cs="Times New Roman"/>
          <w:color w:val="auto"/>
          <w:sz w:val="16"/>
          <w:szCs w:val="16"/>
        </w:rPr>
      </w:pPr>
      <w:r>
        <w:rPr>
          <w:rFonts w:ascii="Times New Roman" w:hAnsi="Times New Roman"/>
          <w:color w:val="auto"/>
          <w:sz w:val="28"/>
          <w:szCs w:val="28"/>
        </w:rPr>
        <w:t>к Правилам</w:t>
      </w:r>
      <w:r w:rsidRPr="00D27D76">
        <w:rPr>
          <w:rFonts w:ascii="Times New Roman" w:hAnsi="Times New Roman"/>
          <w:color w:val="auto"/>
          <w:sz w:val="28"/>
          <w:szCs w:val="28"/>
        </w:rPr>
        <w:t xml:space="preserve"> формирования Единого перечня российских организаций, реализующих корпоративные программы международной конкурентоспособности</w:t>
      </w:r>
      <w:r>
        <w:rPr>
          <w:rFonts w:ascii="Times New Roman" w:hAnsi="Times New Roman"/>
          <w:color w:val="auto"/>
          <w:sz w:val="28"/>
          <w:szCs w:val="28"/>
        </w:rPr>
        <w:t xml:space="preserve"> </w:t>
      </w:r>
      <w:r>
        <w:rPr>
          <w:rFonts w:ascii="Times New Roman" w:hAnsi="Times New Roman"/>
          <w:color w:val="auto"/>
          <w:sz w:val="28"/>
          <w:szCs w:val="28"/>
        </w:rPr>
        <w:br/>
      </w:r>
    </w:p>
    <w:p w:rsidR="0081669C" w:rsidRPr="002426B7" w:rsidRDefault="0081669C" w:rsidP="00D27D76">
      <w:pPr>
        <w:pStyle w:val="ConsPlusNormal"/>
        <w:pBdr>
          <w:top w:val="none" w:sz="0" w:space="0" w:color="auto"/>
          <w:left w:val="none" w:sz="0" w:space="0" w:color="auto"/>
          <w:bottom w:val="none" w:sz="0" w:space="0" w:color="auto"/>
          <w:right w:val="none" w:sz="0" w:space="0" w:color="auto"/>
          <w:bar w:val="none" w:sz="0" w:color="auto"/>
        </w:pBdr>
        <w:spacing w:after="0" w:line="360" w:lineRule="auto"/>
        <w:ind w:left="8080"/>
        <w:jc w:val="center"/>
        <w:rPr>
          <w:rFonts w:ascii="Times New Roman" w:hAnsi="Times New Roman" w:cs="Times New Roman"/>
          <w:color w:val="auto"/>
          <w:sz w:val="28"/>
          <w:szCs w:val="28"/>
        </w:rPr>
      </w:pPr>
      <w:r>
        <w:rPr>
          <w:rFonts w:ascii="Times New Roman" w:hAnsi="Times New Roman" w:cs="Times New Roman"/>
          <w:color w:val="auto"/>
          <w:sz w:val="28"/>
          <w:szCs w:val="28"/>
        </w:rPr>
        <w:t>(форма)</w:t>
      </w:r>
    </w:p>
    <w:p w:rsidR="0081669C" w:rsidRPr="002426B7" w:rsidRDefault="0081669C" w:rsidP="00D27D76">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jc w:val="center"/>
        <w:rPr>
          <w:rFonts w:ascii="Times New Roman" w:hAnsi="Times New Roman" w:cs="Times New Roman"/>
          <w:b/>
          <w:color w:val="auto"/>
          <w:sz w:val="28"/>
          <w:szCs w:val="28"/>
        </w:rPr>
      </w:pPr>
      <w:r>
        <w:rPr>
          <w:rFonts w:ascii="Times New Roman" w:hAnsi="Times New Roman" w:cs="Times New Roman"/>
          <w:b/>
          <w:color w:val="auto"/>
          <w:sz w:val="28"/>
          <w:szCs w:val="28"/>
        </w:rPr>
        <w:t>Ф</w:t>
      </w:r>
      <w:r w:rsidRPr="002426B7">
        <w:rPr>
          <w:rFonts w:ascii="Times New Roman" w:hAnsi="Times New Roman" w:cs="Times New Roman"/>
          <w:b/>
          <w:color w:val="auto"/>
          <w:sz w:val="28"/>
          <w:szCs w:val="28"/>
        </w:rPr>
        <w:t>орма</w:t>
      </w:r>
    </w:p>
    <w:p w:rsidR="0081669C" w:rsidRPr="002426B7" w:rsidRDefault="0081669C" w:rsidP="00D27D76">
      <w:pPr>
        <w:pStyle w:val="ConsPlusNormal"/>
        <w:pBdr>
          <w:top w:val="none" w:sz="0" w:space="0" w:color="auto"/>
          <w:left w:val="none" w:sz="0" w:space="0" w:color="auto"/>
          <w:bottom w:val="none" w:sz="0" w:space="0" w:color="auto"/>
          <w:right w:val="none" w:sz="0" w:space="0" w:color="auto"/>
          <w:bar w:val="none" w:sz="0" w:color="auto"/>
        </w:pBdr>
        <w:spacing w:after="0" w:line="240" w:lineRule="auto"/>
        <w:ind w:firstLine="709"/>
        <w:contextualSpacing/>
        <w:jc w:val="center"/>
        <w:rPr>
          <w:rFonts w:ascii="Times New Roman" w:hAnsi="Times New Roman"/>
          <w:color w:val="auto"/>
          <w:sz w:val="28"/>
          <w:szCs w:val="28"/>
        </w:rPr>
      </w:pPr>
      <w:r w:rsidRPr="00D27D76">
        <w:rPr>
          <w:rFonts w:ascii="Times New Roman" w:hAnsi="Times New Roman" w:cs="Times New Roman"/>
          <w:b/>
          <w:color w:val="auto"/>
          <w:sz w:val="28"/>
          <w:szCs w:val="28"/>
        </w:rPr>
        <w:t>Единого перечня российских организаций, реализующих корпоративные программы международной конкурентоспособности</w:t>
      </w:r>
      <w:r>
        <w:rPr>
          <w:rFonts w:ascii="Times New Roman" w:hAnsi="Times New Roman" w:cs="Times New Roman"/>
          <w:b/>
          <w:color w:val="auto"/>
          <w:sz w:val="28"/>
          <w:szCs w:val="28"/>
        </w:rPr>
        <w:t xml:space="preserve"> </w:t>
      </w:r>
    </w:p>
    <w:tbl>
      <w:tblPr>
        <w:tblW w:w="15309" w:type="dxa"/>
        <w:tblInd w:w="137" w:type="dxa"/>
        <w:tblLayout w:type="fixed"/>
        <w:tblLook w:val="00A0"/>
      </w:tblPr>
      <w:tblGrid>
        <w:gridCol w:w="567"/>
        <w:gridCol w:w="567"/>
        <w:gridCol w:w="567"/>
        <w:gridCol w:w="567"/>
        <w:gridCol w:w="709"/>
        <w:gridCol w:w="567"/>
        <w:gridCol w:w="709"/>
        <w:gridCol w:w="425"/>
        <w:gridCol w:w="567"/>
        <w:gridCol w:w="425"/>
        <w:gridCol w:w="425"/>
        <w:gridCol w:w="426"/>
        <w:gridCol w:w="425"/>
        <w:gridCol w:w="425"/>
        <w:gridCol w:w="709"/>
        <w:gridCol w:w="425"/>
        <w:gridCol w:w="567"/>
        <w:gridCol w:w="425"/>
        <w:gridCol w:w="426"/>
        <w:gridCol w:w="425"/>
        <w:gridCol w:w="567"/>
        <w:gridCol w:w="709"/>
        <w:gridCol w:w="425"/>
        <w:gridCol w:w="709"/>
        <w:gridCol w:w="708"/>
        <w:gridCol w:w="1843"/>
      </w:tblGrid>
      <w:tr w:rsidR="0081669C" w:rsidRPr="0090620B" w:rsidTr="0015170A">
        <w:trPr>
          <w:cantSplit/>
          <w:trHeight w:val="188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sidRPr="00602D1A">
              <w:rPr>
                <w:sz w:val="20"/>
                <w:szCs w:val="20"/>
                <w:lang w:val="ru-RU"/>
              </w:rPr>
              <w:t>№ п/п</w:t>
            </w:r>
          </w:p>
        </w:tc>
        <w:tc>
          <w:tcPr>
            <w:tcW w:w="1134" w:type="dxa"/>
            <w:gridSpan w:val="2"/>
            <w:tcBorders>
              <w:top w:val="single" w:sz="4" w:space="0" w:color="auto"/>
              <w:left w:val="nil"/>
              <w:bottom w:val="single" w:sz="4" w:space="0" w:color="auto"/>
              <w:right w:val="single" w:sz="4" w:space="0" w:color="000000"/>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Официальное наименование организации</w:t>
            </w:r>
          </w:p>
        </w:tc>
        <w:tc>
          <w:tcPr>
            <w:tcW w:w="567"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81669C" w:rsidRPr="00602D1A" w:rsidRDefault="0081669C" w:rsidP="009537E9">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ИНН</w:t>
            </w:r>
          </w:p>
        </w:tc>
        <w:tc>
          <w:tcPr>
            <w:tcW w:w="709"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Наименование субъекта Российской Федерации</w:t>
            </w:r>
          </w:p>
        </w:tc>
        <w:tc>
          <w:tcPr>
            <w:tcW w:w="567"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Отрасль промышленности</w:t>
            </w:r>
          </w:p>
        </w:tc>
        <w:tc>
          <w:tcPr>
            <w:tcW w:w="709"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Основной вид деятельности по ОКВЭД</w:t>
            </w:r>
          </w:p>
        </w:tc>
        <w:tc>
          <w:tcPr>
            <w:tcW w:w="3118" w:type="dxa"/>
            <w:gridSpan w:val="7"/>
            <w:tcBorders>
              <w:top w:val="single" w:sz="4" w:space="0" w:color="auto"/>
              <w:left w:val="nil"/>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sidRPr="00602D1A">
              <w:rPr>
                <w:sz w:val="20"/>
                <w:szCs w:val="20"/>
                <w:lang w:val="ru-RU"/>
              </w:rPr>
              <w:t>Объем заявленной субсидии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Объем реализованной продукции за год, предшествующий заключению соглашения, тыс. руб.</w:t>
            </w:r>
          </w:p>
        </w:tc>
        <w:tc>
          <w:tcPr>
            <w:tcW w:w="2835" w:type="dxa"/>
            <w:gridSpan w:val="6"/>
            <w:tcBorders>
              <w:top w:val="single" w:sz="4" w:space="0" w:color="auto"/>
              <w:left w:val="nil"/>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sidRPr="00602D1A">
              <w:rPr>
                <w:sz w:val="20"/>
                <w:szCs w:val="20"/>
                <w:lang w:val="ru-RU"/>
              </w:rPr>
              <w:t xml:space="preserve">Показатель результативности по годам, тыс. руб. </w:t>
            </w:r>
          </w:p>
        </w:tc>
        <w:tc>
          <w:tcPr>
            <w:tcW w:w="709" w:type="dxa"/>
            <w:vMerge w:val="restart"/>
            <w:tcBorders>
              <w:top w:val="single" w:sz="4" w:space="0" w:color="auto"/>
              <w:left w:val="nil"/>
              <w:right w:val="single" w:sz="4" w:space="0" w:color="auto"/>
            </w:tcBorders>
            <w:textDirection w:val="btL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Итого 2024 год к году, предшествующему году заключения соглашения, тыс. руб</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rPr>
              <w:t>L</w:t>
            </w:r>
            <w:r w:rsidRPr="00602D1A">
              <w:rPr>
                <w:sz w:val="20"/>
                <w:szCs w:val="20"/>
                <w:lang w:val="ru-RU"/>
              </w:rPr>
              <w:t xml:space="preserve"> (коэффициент, учитывающий уровень локализации)</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 xml:space="preserve"> Ожидаемая общая результативность использования субсидии </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Ранг, присваиваемый производителю соответствующей отрасли</w:t>
            </w:r>
          </w:p>
        </w:tc>
        <w:tc>
          <w:tcPr>
            <w:tcW w:w="1843" w:type="dxa"/>
            <w:vMerge w:val="restart"/>
            <w:tcBorders>
              <w:top w:val="single" w:sz="4" w:space="0" w:color="auto"/>
              <w:left w:val="single" w:sz="4" w:space="0" w:color="auto"/>
              <w:right w:val="single" w:sz="4" w:space="0" w:color="auto"/>
            </w:tcBorders>
            <w:textDirection w:val="btLr"/>
          </w:tcPr>
          <w:p w:rsidR="0081669C" w:rsidRPr="0015170A" w:rsidRDefault="0081669C" w:rsidP="0015170A">
            <w:pPr>
              <w:pBdr>
                <w:top w:val="none" w:sz="0" w:space="0" w:color="auto"/>
                <w:left w:val="none" w:sz="0" w:space="0" w:color="auto"/>
                <w:bottom w:val="none" w:sz="0" w:space="0" w:color="auto"/>
                <w:right w:val="none" w:sz="0" w:space="0" w:color="auto"/>
                <w:bar w:val="none" w:sz="0" w:color="auto"/>
              </w:pBdr>
              <w:ind w:left="113" w:right="113"/>
              <w:jc w:val="center"/>
              <w:rPr>
                <w:sz w:val="16"/>
                <w:szCs w:val="16"/>
                <w:lang w:val="ru-RU"/>
              </w:rPr>
            </w:pPr>
            <w:r w:rsidRPr="0015170A">
              <w:rPr>
                <w:sz w:val="16"/>
                <w:szCs w:val="16"/>
                <w:lang w:val="ru-RU"/>
              </w:rPr>
              <w:t>Правил предоставления субсидий из федерального бюджета российским организациям федерального значения на финансовое обеспечение части затрат связанных с реализацией корпоративных программ между</w:t>
            </w:r>
            <w:r>
              <w:rPr>
                <w:sz w:val="16"/>
                <w:szCs w:val="16"/>
                <w:lang w:val="ru-RU"/>
              </w:rPr>
              <w:t xml:space="preserve">народной конкурентоспособности или </w:t>
            </w:r>
            <w:r w:rsidRPr="0015170A">
              <w:rPr>
                <w:sz w:val="16"/>
                <w:szCs w:val="16"/>
                <w:lang w:val="ru-RU"/>
              </w:rPr>
              <w:t>Правил предоставления иных межбюджетных трансфертов из федерального бюджета бюджетам субъектов Российской Федерации на софинансирование затрат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w:t>
            </w:r>
          </w:p>
        </w:tc>
      </w:tr>
      <w:tr w:rsidR="0081669C" w:rsidRPr="00602D1A" w:rsidTr="0015170A">
        <w:trPr>
          <w:cantSplit/>
          <w:trHeight w:val="3484"/>
        </w:trPr>
        <w:tc>
          <w:tcPr>
            <w:tcW w:w="567" w:type="dxa"/>
            <w:vMerge/>
            <w:tcBorders>
              <w:top w:val="nil"/>
              <w:left w:val="single" w:sz="4" w:space="0" w:color="auto"/>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567"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 xml:space="preserve">Полное </w:t>
            </w:r>
          </w:p>
        </w:tc>
        <w:tc>
          <w:tcPr>
            <w:tcW w:w="567"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 xml:space="preserve">Краткое </w:t>
            </w:r>
          </w:p>
        </w:tc>
        <w:tc>
          <w:tcPr>
            <w:tcW w:w="567" w:type="dxa"/>
            <w:vMerge/>
            <w:tcBorders>
              <w:top w:val="single" w:sz="4" w:space="0" w:color="auto"/>
              <w:left w:val="single" w:sz="4" w:space="0" w:color="auto"/>
              <w:bottom w:val="single" w:sz="4" w:space="0" w:color="000000"/>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709" w:type="dxa"/>
            <w:vMerge/>
            <w:tcBorders>
              <w:top w:val="nil"/>
              <w:left w:val="single" w:sz="4" w:space="0" w:color="auto"/>
              <w:bottom w:val="single" w:sz="4" w:space="0" w:color="000000"/>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2019 год</w:t>
            </w:r>
          </w:p>
        </w:tc>
        <w:tc>
          <w:tcPr>
            <w:tcW w:w="567"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2020 год</w:t>
            </w: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2021 год</w:t>
            </w: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2022 год</w:t>
            </w:r>
          </w:p>
        </w:tc>
        <w:tc>
          <w:tcPr>
            <w:tcW w:w="426"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2023 год</w:t>
            </w: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2024 год</w:t>
            </w: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Итого</w:t>
            </w:r>
          </w:p>
        </w:tc>
        <w:tc>
          <w:tcPr>
            <w:tcW w:w="709" w:type="dxa"/>
            <w:vMerge/>
            <w:tcBorders>
              <w:top w:val="nil"/>
              <w:left w:val="single" w:sz="4" w:space="0" w:color="auto"/>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2019 год</w:t>
            </w:r>
          </w:p>
        </w:tc>
        <w:tc>
          <w:tcPr>
            <w:tcW w:w="567"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2020 год</w:t>
            </w: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2021 год</w:t>
            </w:r>
          </w:p>
        </w:tc>
        <w:tc>
          <w:tcPr>
            <w:tcW w:w="426"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2022 год</w:t>
            </w:r>
          </w:p>
        </w:tc>
        <w:tc>
          <w:tcPr>
            <w:tcW w:w="425"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2023 год</w:t>
            </w:r>
          </w:p>
        </w:tc>
        <w:tc>
          <w:tcPr>
            <w:tcW w:w="567" w:type="dxa"/>
            <w:tcBorders>
              <w:top w:val="nil"/>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r w:rsidRPr="00602D1A">
              <w:rPr>
                <w:sz w:val="20"/>
                <w:szCs w:val="20"/>
                <w:lang w:val="ru-RU"/>
              </w:rPr>
              <w:t>2024 год</w:t>
            </w:r>
          </w:p>
        </w:tc>
        <w:tc>
          <w:tcPr>
            <w:tcW w:w="709" w:type="dxa"/>
            <w:vMerge/>
            <w:tcBorders>
              <w:left w:val="nil"/>
              <w:bottom w:val="single" w:sz="4" w:space="0" w:color="auto"/>
              <w:right w:val="single" w:sz="4" w:space="0" w:color="auto"/>
            </w:tcBorders>
            <w:textDirection w:val="btLr"/>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ind w:left="113" w:right="113"/>
              <w:jc w:val="center"/>
              <w:rPr>
                <w:sz w:val="20"/>
                <w:szCs w:val="20"/>
                <w:lang w:val="ru-RU"/>
              </w:rPr>
            </w:pPr>
          </w:p>
        </w:tc>
        <w:tc>
          <w:tcPr>
            <w:tcW w:w="425" w:type="dxa"/>
            <w:vMerge/>
            <w:tcBorders>
              <w:top w:val="nil"/>
              <w:left w:val="single" w:sz="4" w:space="0" w:color="auto"/>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709" w:type="dxa"/>
            <w:vMerge/>
            <w:tcBorders>
              <w:top w:val="nil"/>
              <w:left w:val="single" w:sz="4" w:space="0" w:color="auto"/>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1843" w:type="dxa"/>
            <w:vMerge/>
            <w:tcBorders>
              <w:left w:val="single" w:sz="4" w:space="0" w:color="auto"/>
              <w:bottom w:val="single" w:sz="4" w:space="0" w:color="auto"/>
              <w:right w:val="single" w:sz="4" w:space="0" w:color="auto"/>
            </w:tcBorders>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r>
      <w:tr w:rsidR="0081669C" w:rsidRPr="00602D1A" w:rsidTr="0015170A">
        <w:trPr>
          <w:trHeight w:val="699"/>
        </w:trPr>
        <w:tc>
          <w:tcPr>
            <w:tcW w:w="567" w:type="dxa"/>
            <w:tcBorders>
              <w:top w:val="nil"/>
              <w:left w:val="single" w:sz="4" w:space="0" w:color="auto"/>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sidRPr="00602D1A">
              <w:rPr>
                <w:sz w:val="20"/>
                <w:szCs w:val="20"/>
                <w:lang w:val="ru-RU"/>
              </w:rPr>
              <w:t>1</w:t>
            </w:r>
          </w:p>
        </w:tc>
        <w:tc>
          <w:tcPr>
            <w:tcW w:w="567"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w:t>
            </w:r>
          </w:p>
        </w:tc>
        <w:tc>
          <w:tcPr>
            <w:tcW w:w="567"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3</w:t>
            </w:r>
          </w:p>
        </w:tc>
        <w:tc>
          <w:tcPr>
            <w:tcW w:w="567"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4</w:t>
            </w:r>
          </w:p>
        </w:tc>
        <w:tc>
          <w:tcPr>
            <w:tcW w:w="709"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5</w:t>
            </w:r>
          </w:p>
        </w:tc>
        <w:tc>
          <w:tcPr>
            <w:tcW w:w="567"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6</w:t>
            </w:r>
          </w:p>
        </w:tc>
        <w:tc>
          <w:tcPr>
            <w:tcW w:w="709"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7</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8</w:t>
            </w:r>
          </w:p>
        </w:tc>
        <w:tc>
          <w:tcPr>
            <w:tcW w:w="567"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9</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10</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11</w:t>
            </w:r>
          </w:p>
        </w:tc>
        <w:tc>
          <w:tcPr>
            <w:tcW w:w="426"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12</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13</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14</w:t>
            </w:r>
          </w:p>
        </w:tc>
        <w:tc>
          <w:tcPr>
            <w:tcW w:w="709"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15</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16</w:t>
            </w:r>
          </w:p>
        </w:tc>
        <w:tc>
          <w:tcPr>
            <w:tcW w:w="567"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17</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18</w:t>
            </w:r>
          </w:p>
        </w:tc>
        <w:tc>
          <w:tcPr>
            <w:tcW w:w="426"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19</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20</w:t>
            </w:r>
          </w:p>
        </w:tc>
        <w:tc>
          <w:tcPr>
            <w:tcW w:w="567"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21</w:t>
            </w:r>
          </w:p>
        </w:tc>
        <w:tc>
          <w:tcPr>
            <w:tcW w:w="709"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22</w:t>
            </w:r>
          </w:p>
        </w:tc>
        <w:tc>
          <w:tcPr>
            <w:tcW w:w="425"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23</w:t>
            </w:r>
          </w:p>
        </w:tc>
        <w:tc>
          <w:tcPr>
            <w:tcW w:w="709" w:type="dxa"/>
            <w:tcBorders>
              <w:top w:val="nil"/>
              <w:left w:val="nil"/>
              <w:bottom w:val="single" w:sz="4" w:space="0" w:color="auto"/>
              <w:right w:val="single" w:sz="4" w:space="0" w:color="auto"/>
            </w:tcBorders>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24</w:t>
            </w:r>
          </w:p>
        </w:tc>
        <w:tc>
          <w:tcPr>
            <w:tcW w:w="708" w:type="dxa"/>
            <w:tcBorders>
              <w:top w:val="nil"/>
              <w:left w:val="nil"/>
              <w:bottom w:val="single" w:sz="4" w:space="0" w:color="auto"/>
              <w:right w:val="single" w:sz="4" w:space="0" w:color="auto"/>
            </w:tcBorders>
            <w:noWrap/>
            <w:vAlign w:val="center"/>
          </w:tcPr>
          <w:p w:rsidR="0081669C" w:rsidRPr="00602D1A"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25</w:t>
            </w:r>
          </w:p>
        </w:tc>
        <w:tc>
          <w:tcPr>
            <w:tcW w:w="1843" w:type="dxa"/>
            <w:tcBorders>
              <w:top w:val="nil"/>
              <w:left w:val="nil"/>
              <w:bottom w:val="single" w:sz="4" w:space="0" w:color="auto"/>
              <w:right w:val="single" w:sz="4" w:space="0" w:color="auto"/>
            </w:tcBorders>
            <w:vAlign w:val="center"/>
          </w:tcPr>
          <w:p w:rsidR="0081669C" w:rsidRDefault="0081669C" w:rsidP="007D6BA6">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Pr>
                <w:sz w:val="20"/>
                <w:szCs w:val="20"/>
                <w:lang w:val="ru-RU"/>
              </w:rPr>
              <w:t>26</w:t>
            </w:r>
          </w:p>
        </w:tc>
      </w:tr>
      <w:tr w:rsidR="0081669C" w:rsidRPr="00602D1A" w:rsidTr="0015170A">
        <w:trPr>
          <w:trHeight w:val="329"/>
        </w:trPr>
        <w:tc>
          <w:tcPr>
            <w:tcW w:w="567" w:type="dxa"/>
            <w:tcBorders>
              <w:top w:val="nil"/>
              <w:left w:val="single" w:sz="4" w:space="0" w:color="auto"/>
              <w:bottom w:val="single" w:sz="4" w:space="0" w:color="auto"/>
              <w:right w:val="single" w:sz="4" w:space="0" w:color="auto"/>
            </w:tcBorders>
            <w:noWrap/>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jc w:val="center"/>
              <w:rPr>
                <w:sz w:val="20"/>
                <w:szCs w:val="20"/>
                <w:lang w:val="ru-RU"/>
              </w:rPr>
            </w:pPr>
          </w:p>
        </w:tc>
        <w:tc>
          <w:tcPr>
            <w:tcW w:w="567" w:type="dxa"/>
            <w:tcBorders>
              <w:top w:val="nil"/>
              <w:left w:val="nil"/>
              <w:bottom w:val="single" w:sz="4" w:space="0" w:color="auto"/>
              <w:right w:val="single" w:sz="4" w:space="0" w:color="auto"/>
            </w:tcBorders>
            <w:noWrap/>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sidRPr="00602D1A">
              <w:rPr>
                <w:sz w:val="20"/>
                <w:szCs w:val="20"/>
                <w:lang w:val="ru-RU"/>
              </w:rPr>
              <w:t> </w:t>
            </w:r>
          </w:p>
        </w:tc>
        <w:tc>
          <w:tcPr>
            <w:tcW w:w="567" w:type="dxa"/>
            <w:tcBorders>
              <w:top w:val="nil"/>
              <w:left w:val="nil"/>
              <w:bottom w:val="single" w:sz="4" w:space="0" w:color="auto"/>
              <w:right w:val="single" w:sz="4" w:space="0" w:color="auto"/>
            </w:tcBorders>
            <w:noWrap/>
            <w:vAlign w:val="center"/>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jc w:val="center"/>
              <w:rPr>
                <w:sz w:val="20"/>
                <w:szCs w:val="20"/>
                <w:lang w:val="ru-RU"/>
              </w:rPr>
            </w:pPr>
            <w:r w:rsidRPr="00602D1A">
              <w:rPr>
                <w:sz w:val="20"/>
                <w:szCs w:val="20"/>
                <w:lang w:val="ru-RU"/>
              </w:rPr>
              <w:t> </w:t>
            </w:r>
          </w:p>
        </w:tc>
        <w:tc>
          <w:tcPr>
            <w:tcW w:w="567"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709"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567"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709"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567"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6"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709"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567"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6"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567"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709"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425"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709" w:type="dxa"/>
            <w:tcBorders>
              <w:top w:val="nil"/>
              <w:left w:val="nil"/>
              <w:bottom w:val="single" w:sz="4" w:space="0" w:color="auto"/>
              <w:right w:val="single" w:sz="4" w:space="0" w:color="auto"/>
            </w:tcBorders>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c>
          <w:tcPr>
            <w:tcW w:w="708" w:type="dxa"/>
            <w:tcBorders>
              <w:top w:val="nil"/>
              <w:left w:val="nil"/>
              <w:bottom w:val="single" w:sz="4" w:space="0" w:color="auto"/>
              <w:right w:val="single" w:sz="4" w:space="0" w:color="auto"/>
            </w:tcBorders>
            <w:noWrap/>
            <w:vAlign w:val="bottom"/>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r w:rsidRPr="00602D1A">
              <w:rPr>
                <w:sz w:val="20"/>
                <w:szCs w:val="20"/>
                <w:lang w:val="ru-RU"/>
              </w:rPr>
              <w:t> </w:t>
            </w:r>
          </w:p>
        </w:tc>
        <w:tc>
          <w:tcPr>
            <w:tcW w:w="1843" w:type="dxa"/>
            <w:tcBorders>
              <w:top w:val="nil"/>
              <w:left w:val="nil"/>
              <w:bottom w:val="single" w:sz="4" w:space="0" w:color="auto"/>
              <w:right w:val="single" w:sz="4" w:space="0" w:color="auto"/>
            </w:tcBorders>
          </w:tcPr>
          <w:p w:rsidR="0081669C" w:rsidRPr="00602D1A" w:rsidRDefault="0081669C" w:rsidP="00602D1A">
            <w:pPr>
              <w:pBdr>
                <w:top w:val="none" w:sz="0" w:space="0" w:color="auto"/>
                <w:left w:val="none" w:sz="0" w:space="0" w:color="auto"/>
                <w:bottom w:val="none" w:sz="0" w:space="0" w:color="auto"/>
                <w:right w:val="none" w:sz="0" w:space="0" w:color="auto"/>
                <w:bar w:val="none" w:sz="0" w:color="auto"/>
              </w:pBdr>
              <w:rPr>
                <w:sz w:val="20"/>
                <w:szCs w:val="20"/>
                <w:lang w:val="ru-RU"/>
              </w:rPr>
            </w:pPr>
          </w:p>
        </w:tc>
      </w:tr>
    </w:tbl>
    <w:p w:rsidR="0081669C" w:rsidRPr="00DB7849" w:rsidRDefault="0081669C" w:rsidP="00DB7849">
      <w:pPr>
        <w:pBdr>
          <w:top w:val="none" w:sz="0" w:space="0" w:color="auto"/>
          <w:left w:val="none" w:sz="0" w:space="0" w:color="auto"/>
          <w:bottom w:val="none" w:sz="0" w:space="0" w:color="auto"/>
          <w:right w:val="none" w:sz="0" w:space="0" w:color="auto"/>
          <w:bar w:val="none" w:sz="0" w:color="auto"/>
        </w:pBdr>
        <w:rPr>
          <w:rFonts w:ascii="Calibri" w:hAnsi="Calibri"/>
          <w:color w:val="auto"/>
          <w:sz w:val="20"/>
          <w:szCs w:val="20"/>
          <w:lang w:val="ru-RU" w:eastAsia="en-US"/>
        </w:rPr>
      </w:pPr>
    </w:p>
    <w:p w:rsidR="0081669C" w:rsidRDefault="0081669C" w:rsidP="00676819">
      <w:pPr>
        <w:widowControl w:val="0"/>
        <w:pBdr>
          <w:top w:val="none" w:sz="0" w:space="0" w:color="auto"/>
          <w:left w:val="none" w:sz="0" w:space="0" w:color="auto"/>
          <w:bottom w:val="none" w:sz="0" w:space="0" w:color="auto"/>
          <w:right w:val="none" w:sz="0" w:space="0" w:color="auto"/>
          <w:bar w:val="none" w:sz="0" w:color="auto"/>
        </w:pBdr>
        <w:spacing w:line="360" w:lineRule="auto"/>
        <w:contextualSpacing/>
        <w:jc w:val="both"/>
        <w:rPr>
          <w:color w:val="auto"/>
          <w:sz w:val="28"/>
          <w:szCs w:val="28"/>
          <w:lang w:val="ru-RU"/>
        </w:rPr>
      </w:pPr>
    </w:p>
    <w:p w:rsidR="0081669C" w:rsidRPr="002426B7" w:rsidRDefault="0081669C" w:rsidP="00676819">
      <w:pPr>
        <w:widowControl w:val="0"/>
        <w:pBdr>
          <w:top w:val="none" w:sz="0" w:space="0" w:color="auto"/>
          <w:left w:val="none" w:sz="0" w:space="0" w:color="auto"/>
          <w:bottom w:val="none" w:sz="0" w:space="0" w:color="auto"/>
          <w:right w:val="none" w:sz="0" w:space="0" w:color="auto"/>
          <w:bar w:val="none" w:sz="0" w:color="auto"/>
        </w:pBdr>
        <w:spacing w:line="360" w:lineRule="auto"/>
        <w:contextualSpacing/>
        <w:jc w:val="both"/>
        <w:rPr>
          <w:color w:val="auto"/>
          <w:sz w:val="28"/>
          <w:szCs w:val="28"/>
          <w:lang w:val="ru-RU"/>
        </w:rPr>
        <w:sectPr w:rsidR="0081669C" w:rsidRPr="002426B7" w:rsidSect="00DB7849">
          <w:pgSz w:w="16840" w:h="11900" w:orient="landscape"/>
          <w:pgMar w:top="1134" w:right="822" w:bottom="567" w:left="709" w:header="709" w:footer="709" w:gutter="0"/>
          <w:pgNumType w:start="1"/>
          <w:cols w:space="720"/>
          <w:titlePg/>
          <w:rtlGutter/>
          <w:docGrid w:linePitch="326"/>
        </w:sectPr>
      </w:pPr>
    </w:p>
    <w:tbl>
      <w:tblPr>
        <w:tblW w:w="0" w:type="auto"/>
        <w:tblLook w:val="00A0"/>
      </w:tblPr>
      <w:tblGrid>
        <w:gridCol w:w="4785"/>
        <w:gridCol w:w="4786"/>
      </w:tblGrid>
      <w:tr w:rsidR="0081669C" w:rsidRPr="0090620B" w:rsidTr="00EC0B60">
        <w:tc>
          <w:tcPr>
            <w:tcW w:w="4785" w:type="dxa"/>
          </w:tcPr>
          <w:p w:rsidR="0081669C" w:rsidRPr="00EC0B60" w:rsidRDefault="0081669C" w:rsidP="00EC0B60">
            <w:pPr>
              <w:pStyle w:val="ConsPlusNormal"/>
              <w:pBdr>
                <w:top w:val="none" w:sz="0" w:space="0" w:color="auto"/>
                <w:left w:val="none" w:sz="0" w:space="0" w:color="auto"/>
                <w:bottom w:val="none" w:sz="0" w:space="0" w:color="auto"/>
                <w:right w:val="none" w:sz="0" w:space="0" w:color="auto"/>
                <w:bar w:val="none" w:sz="0" w:color="auto"/>
              </w:pBdr>
              <w:spacing w:after="0" w:line="360" w:lineRule="auto"/>
              <w:jc w:val="center"/>
              <w:rPr>
                <w:rFonts w:ascii="Times New Roman" w:hAnsi="Times New Roman" w:cs="Times New Roman"/>
                <w:color w:val="auto"/>
              </w:rPr>
            </w:pPr>
          </w:p>
        </w:tc>
        <w:tc>
          <w:tcPr>
            <w:tcW w:w="4786" w:type="dxa"/>
          </w:tcPr>
          <w:p w:rsidR="0081669C" w:rsidRPr="00EC0B60" w:rsidRDefault="0081669C" w:rsidP="00EC0B60">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jc w:val="center"/>
              <w:rPr>
                <w:rFonts w:ascii="Times New Roman" w:hAnsi="Times New Roman" w:cs="Times New Roman"/>
                <w:color w:val="auto"/>
              </w:rPr>
            </w:pPr>
            <w:r w:rsidRPr="00EC0B60">
              <w:rPr>
                <w:rFonts w:ascii="Times New Roman" w:hAnsi="Times New Roman" w:cs="Times New Roman"/>
                <w:color w:val="auto"/>
              </w:rPr>
              <w:t>УТВЕРЖДЕНЫ</w:t>
            </w:r>
          </w:p>
          <w:p w:rsidR="0081669C" w:rsidRPr="00EC0B60" w:rsidRDefault="0081669C" w:rsidP="00EC0B60">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jc w:val="center"/>
              <w:rPr>
                <w:rFonts w:ascii="Times New Roman" w:hAnsi="Times New Roman" w:cs="Times New Roman"/>
                <w:color w:val="auto"/>
              </w:rPr>
            </w:pPr>
            <w:r w:rsidRPr="00EC0B60">
              <w:rPr>
                <w:rFonts w:ascii="Times New Roman" w:hAnsi="Times New Roman" w:cs="Times New Roman"/>
                <w:color w:val="auto"/>
              </w:rPr>
              <w:t>постановлением Правительства</w:t>
            </w:r>
          </w:p>
          <w:p w:rsidR="0081669C" w:rsidRPr="00EC0B60" w:rsidRDefault="0081669C" w:rsidP="00EC0B60">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jc w:val="center"/>
              <w:rPr>
                <w:rFonts w:ascii="Times New Roman" w:hAnsi="Times New Roman" w:cs="Times New Roman"/>
                <w:color w:val="auto"/>
              </w:rPr>
            </w:pPr>
            <w:r w:rsidRPr="00EC0B60">
              <w:rPr>
                <w:rFonts w:ascii="Times New Roman" w:hAnsi="Times New Roman" w:cs="Times New Roman"/>
                <w:color w:val="auto"/>
              </w:rPr>
              <w:t>Российской Федерации</w:t>
            </w:r>
          </w:p>
          <w:p w:rsidR="0081669C" w:rsidRPr="00EC0B60" w:rsidRDefault="0081669C" w:rsidP="00EC0B60">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rPr>
                <w:rFonts w:ascii="Times New Roman" w:hAnsi="Times New Roman" w:cs="Times New Roman"/>
                <w:color w:val="auto"/>
              </w:rPr>
            </w:pPr>
            <w:r w:rsidRPr="00EC0B60">
              <w:rPr>
                <w:rFonts w:ascii="Times New Roman" w:hAnsi="Times New Roman" w:cs="Times New Roman"/>
                <w:color w:val="auto"/>
              </w:rPr>
              <w:t xml:space="preserve">      от _________ 2018 г. № ______</w:t>
            </w:r>
          </w:p>
        </w:tc>
      </w:tr>
    </w:tbl>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jc w:val="center"/>
        <w:rPr>
          <w:rFonts w:ascii="Times New Roman" w:hAnsi="Times New Roman" w:cs="Times New Roman"/>
          <w:color w:val="auto"/>
        </w:r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rPr>
          <w:rFonts w:ascii="Times New Roman" w:hAnsi="Times New Roman" w:cs="Times New Roman"/>
          <w:color w:val="auto"/>
        </w:r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contextualSpacing/>
        <w:jc w:val="center"/>
        <w:rPr>
          <w:rFonts w:ascii="Times New Roman" w:hAnsi="Times New Roman" w:cs="Times New Roman"/>
          <w:b/>
          <w:color w:val="auto"/>
        </w:rPr>
      </w:pPr>
      <w:bookmarkStart w:id="0" w:name="P33"/>
      <w:bookmarkStart w:id="1" w:name="P44"/>
      <w:bookmarkEnd w:id="0"/>
      <w:bookmarkEnd w:id="1"/>
      <w:r w:rsidRPr="00311238">
        <w:rPr>
          <w:rFonts w:ascii="Times New Roman" w:hAnsi="Times New Roman" w:cs="Times New Roman"/>
          <w:b/>
          <w:color w:val="auto"/>
        </w:rPr>
        <w:t>ПРАВИЛА</w:t>
      </w:r>
    </w:p>
    <w:p w:rsidR="0081669C" w:rsidRPr="00311238" w:rsidRDefault="0081669C" w:rsidP="00E621AE">
      <w:pPr>
        <w:widowControl w:val="0"/>
        <w:pBdr>
          <w:top w:val="none" w:sz="0" w:space="0" w:color="auto"/>
          <w:left w:val="none" w:sz="0" w:space="0" w:color="auto"/>
          <w:bottom w:val="none" w:sz="0" w:space="0" w:color="auto"/>
          <w:right w:val="none" w:sz="0" w:space="0" w:color="auto"/>
          <w:bar w:val="none" w:sz="0" w:color="auto"/>
        </w:pBdr>
        <w:ind w:firstLine="709"/>
        <w:contextualSpacing/>
        <w:jc w:val="center"/>
        <w:rPr>
          <w:b/>
          <w:color w:val="auto"/>
          <w:sz w:val="22"/>
          <w:szCs w:val="22"/>
          <w:lang w:val="ru-RU"/>
        </w:rPr>
      </w:pPr>
      <w:r w:rsidRPr="00311238">
        <w:rPr>
          <w:b/>
          <w:color w:val="auto"/>
          <w:sz w:val="22"/>
          <w:szCs w:val="22"/>
          <w:lang w:val="ru-RU"/>
        </w:rPr>
        <w:t>предоставления субсидий из федерального бюджета российским организациям федерального значения на финансовое обеспечение части затрат связанных с реализацией корпоративных программ международной конкурентоспособности</w:t>
      </w:r>
    </w:p>
    <w:p w:rsidR="0081669C" w:rsidRPr="00311238" w:rsidRDefault="0081669C" w:rsidP="0067681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1. Настоящие Правила устанавливают цели, условия и порядок предоставления субсидий из федерального бюджета российским организациям федерального значения на финансовое обеспечение части затрат связанных с реализацией корпоративных программ международной конкурентоспособности (далее – субсидии).</w:t>
      </w:r>
    </w:p>
    <w:p w:rsidR="0081669C" w:rsidRPr="00311238" w:rsidRDefault="0081669C" w:rsidP="008937B6">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2. Субсидии предоставляются </w:t>
      </w:r>
      <w:r w:rsidRPr="00311238">
        <w:rPr>
          <w:rFonts w:ascii="Times New Roman" w:hAnsi="Times New Roman" w:cs="Times New Roman"/>
        </w:rPr>
        <w:t xml:space="preserve">в рамках </w:t>
      </w:r>
      <w:r w:rsidRPr="00311238">
        <w:rPr>
          <w:rFonts w:ascii="Times New Roman" w:hAnsi="Times New Roman" w:cs="Times New Roman"/>
          <w:color w:val="auto"/>
        </w:rPr>
        <w:t>федерального проекта «Промышленный экспорт» в составе национального проекта «Международная кооперация и экспорт» (далее – Национальный проект) в целях поддержки российских организаций федерального значения, реализующих корпоративные программы международной конкурентоспособности, на финансовое обеспечение части затрат, предусмотренных указанными программами.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3.  </w:t>
      </w:r>
      <w:bookmarkStart w:id="2" w:name="Par14"/>
      <w:bookmarkEnd w:id="2"/>
      <w:r w:rsidRPr="00311238">
        <w:rPr>
          <w:rFonts w:ascii="Times New Roman" w:hAnsi="Times New Roman" w:cs="Times New Roman"/>
          <w:color w:val="auto"/>
        </w:rPr>
        <w:t>Субсидии предоставляются в пределах 85 процентов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пункте</w:t>
      </w:r>
      <w:hyperlink w:anchor="P44" w:history="1">
        <w:r w:rsidRPr="00311238">
          <w:rPr>
            <w:rFonts w:ascii="Times New Roman" w:hAnsi="Times New Roman" w:cs="Times New Roman"/>
            <w:color w:val="auto"/>
          </w:rPr>
          <w:t xml:space="preserve"> 2</w:t>
        </w:r>
      </w:hyperlink>
      <w:r w:rsidRPr="00311238">
        <w:rPr>
          <w:rFonts w:ascii="Times New Roman" w:hAnsi="Times New Roman" w:cs="Times New Roman"/>
          <w:color w:val="auto"/>
        </w:rPr>
        <w:t xml:space="preserve"> настоящих Правил, и в соответствии с отраслевыми лимитами.</w:t>
      </w:r>
    </w:p>
    <w:p w:rsidR="0081669C" w:rsidRPr="00311238" w:rsidRDefault="0081669C" w:rsidP="00C13D0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Решением проектного комитета Национального проекта может быть принято решение о перераспределении 15 процентов бюджетных ассигнований, предусмотренных в федеральном законе о федеральном бюджете на соответствующий финансовый год и плановый период, на цели, указанные в пункте 2 настоящих Правил на иные цели и задачи, предусмотренные Национальным проектом.</w:t>
      </w:r>
    </w:p>
    <w:p w:rsidR="0081669C" w:rsidRPr="00311238" w:rsidRDefault="0081669C" w:rsidP="00C13D03">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4.</w:t>
      </w:r>
      <w:r w:rsidRPr="00311238">
        <w:rPr>
          <w:color w:val="auto"/>
          <w:sz w:val="22"/>
          <w:szCs w:val="22"/>
        </w:rPr>
        <w:t> </w:t>
      </w:r>
      <w:r w:rsidRPr="00311238">
        <w:rPr>
          <w:color w:val="auto"/>
          <w:sz w:val="22"/>
          <w:szCs w:val="22"/>
          <w:lang w:val="ru-RU"/>
        </w:rPr>
        <w:t xml:space="preserve">Субсидии предоставляются производителям федерального значения, прошедшим отбор в соответствии с настоящими Правилами, включенным в Единый перечень российских организаций, реализующих корпоративные программы международной конкурентоспособности (далее – Единый перечень), и заключившими соглашения о предоставлении субсидии. </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5. Министерство промышленности и торговли Российской Федерации принимает решение о проведении отбора российских организаций федерального значения для включения в Единый перечень (далее – отбор) при наличии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пункте 2 настоящих Правил, с учетом средств, необходимых для исполнения ранее принятых обязательств по заключенным соглашениям о предоставлении субсидии.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6. В целях проведения отбора Министерство промышленности и торговли Российской Федерации не позднее 21 января 2019 года и далее в случаях, предусмотренных пунктом 5 настоящих Правил, до 2022 года не позднее 1 сентября года, предшествующего очередному финансовому году, размещает на официальном сайте Министерства промышленности и торговли Российской Федерации в информационно-телекоммуникационной сети «Интернет» и (или) государственной информационной системе промышленности:</w:t>
      </w:r>
    </w:p>
    <w:p w:rsidR="0081669C" w:rsidRPr="00311238" w:rsidRDefault="0081669C" w:rsidP="0065437E">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lang w:eastAsia="en-US"/>
        </w:rPr>
      </w:pPr>
      <w:r w:rsidRPr="00311238">
        <w:rPr>
          <w:rFonts w:ascii="Times New Roman" w:hAnsi="Times New Roman" w:cs="Times New Roman"/>
          <w:color w:val="auto"/>
        </w:rPr>
        <w:t xml:space="preserve">а) извещение о проведении отбора с указанием </w:t>
      </w:r>
      <w:r w:rsidRPr="00311238">
        <w:rPr>
          <w:rFonts w:ascii="Times New Roman" w:hAnsi="Times New Roman" w:cs="Times New Roman"/>
          <w:color w:val="auto"/>
          <w:lang w:eastAsia="en-US"/>
        </w:rPr>
        <w:t>порядка, даты начала и даты окончания срока подачи заявок об участии в отборе (далее – заявка);</w:t>
      </w:r>
    </w:p>
    <w:p w:rsidR="0081669C" w:rsidRPr="00311238" w:rsidRDefault="0081669C" w:rsidP="001F5D8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lang w:eastAsia="en-US"/>
        </w:rPr>
      </w:pPr>
      <w:r w:rsidRPr="00311238">
        <w:rPr>
          <w:rFonts w:ascii="Times New Roman" w:hAnsi="Times New Roman" w:cs="Times New Roman"/>
          <w:color w:val="auto"/>
          <w:lang w:eastAsia="en-US"/>
        </w:rPr>
        <w:t>б) требования к участникам отбора, в соответствии с пунктом 8 настоящих Правил;</w:t>
      </w:r>
    </w:p>
    <w:p w:rsidR="0081669C" w:rsidRPr="00311238" w:rsidRDefault="0081669C" w:rsidP="001F5D8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lang w:eastAsia="en-US"/>
        </w:rPr>
      </w:pPr>
      <w:r w:rsidRPr="00311238">
        <w:rPr>
          <w:rFonts w:ascii="Times New Roman" w:hAnsi="Times New Roman" w:cs="Times New Roman"/>
          <w:color w:val="auto"/>
          <w:lang w:eastAsia="en-US"/>
        </w:rPr>
        <w:t>в) типовые требования к корпоративной программе международной конкурентоспособности, утвержденные постановлением Правительства Российской Федерации от № (далее – типовые требования к корпоративной программе);</w:t>
      </w:r>
    </w:p>
    <w:p w:rsidR="0081669C" w:rsidRPr="00311238" w:rsidRDefault="0081669C" w:rsidP="001F5D8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lang w:eastAsia="en-US"/>
        </w:rPr>
      </w:pPr>
      <w:r w:rsidRPr="00311238">
        <w:rPr>
          <w:rFonts w:ascii="Times New Roman" w:hAnsi="Times New Roman" w:cs="Times New Roman"/>
          <w:color w:val="auto"/>
          <w:lang w:eastAsia="en-US"/>
        </w:rPr>
        <w:t>г) документы, представляемые для участия в отборе, в соответствии с пунктом 9 настоящих Правил;</w:t>
      </w:r>
    </w:p>
    <w:p w:rsidR="0081669C" w:rsidRPr="00311238" w:rsidRDefault="0081669C" w:rsidP="001F5D8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lang w:eastAsia="en-US"/>
        </w:rPr>
      </w:pPr>
      <w:r w:rsidRPr="00311238">
        <w:rPr>
          <w:rFonts w:ascii="Times New Roman" w:hAnsi="Times New Roman" w:cs="Times New Roman"/>
          <w:color w:val="auto"/>
          <w:lang w:eastAsia="en-US"/>
        </w:rPr>
        <w:t>д) порядок внесения изменений в документацию о проведении отбора;</w:t>
      </w:r>
    </w:p>
    <w:p w:rsidR="0081669C" w:rsidRPr="00311238" w:rsidRDefault="0081669C" w:rsidP="001F5D8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е) регламент взаимодействия между российскими организациями федерального значения и Министерством промышленности и торговли Российской Федерации, в случае использования государственной информационной системы промышленности при подаче организациями заявок на участие в отборе, предусмотренным пунктом 7 настоящих Правил. </w:t>
      </w:r>
    </w:p>
    <w:p w:rsidR="0081669C" w:rsidRPr="00311238" w:rsidRDefault="0081669C" w:rsidP="001F5D8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Отбор проводится Межведомственной комиссией по вопросам поддержки российских организаций, реализующих корпоративные программы международной конкурентоспособности (далее – Межведомственная комиссия).</w:t>
      </w:r>
    </w:p>
    <w:p w:rsidR="0081669C" w:rsidRPr="00311238" w:rsidRDefault="0081669C" w:rsidP="00676819">
      <w:pPr>
        <w:pStyle w:val="ConsPlusNormal"/>
        <w:widowContro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7. При наличии технической возможности обмен документами и информацией при проведении отбора, заключении соглашений о предоставлении субсидии, подаче заявлений о предоставлении субсидии в соответствии с настоящими Правилами осуществляется с использованием государственной информационной системы промышленности, созданной в соответствии с постановлением Правительства Российской Федерации от 25 июля 2015 г. № 757 «О порядке создания, эксплуатации и совершенствования государственной информационной системы промышленности», в соответствии с регламентом взаимодействия между организациями и Министерством промышленности и торговли Российской Федерации при реализации настоящих Правил с использованием государственной информационной системы промышленности.</w:t>
      </w:r>
    </w:p>
    <w:p w:rsidR="0081669C" w:rsidRPr="00311238" w:rsidRDefault="0081669C" w:rsidP="00676819">
      <w:pPr>
        <w:pStyle w:val="ConsPlusNormal"/>
        <w:widowContro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8. Российские организации федерального значения для включения в Единый перечень и получения субсидии должны по состоянию на дату не ранее чем за 30 календарных дней до даты подачи указанной заявки соответствовать следующим критериям:</w:t>
      </w:r>
    </w:p>
    <w:p w:rsidR="0081669C" w:rsidRPr="00311238" w:rsidRDefault="0081669C" w:rsidP="00B54D0F">
      <w:pPr>
        <w:pStyle w:val="ConsPlusNormal"/>
        <w:widowContro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определению российской организации федерального значения в соответствии с пунктом 2 Правил формирования Единого перечня российских организаций, реализующих корпоративные программы международной конкурентоспособности, утвержденных постановлением Правительства Российской Федерации от № (далее – Единый перечень, Правила формирования Единого перечня);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у российской организации федерального значения отсутствует неисполненная обязанность по уплате налогов, сборов, страховых взносов, пени, штрафов и процентов, подлежащих уплате в соответствии с законодательством Российской Федерации;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в) у российской организации федерального значения отсутствует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г) российская организация федерального значения не находится в процессе реорганизации, ликвидации, банкротства (для юридического лица), не прекращает деятельность в качестве индивидуального предпринимателя (для индивидуального предпринимателя);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д) российская организация федерального значения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являются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е) российская организация федерального значения не получает средств из федерального бюджета и бюджетов субъектов Российской Федерации на основании иных нормативных актов на цели, указанные в пункте 2 настоящих Правил;</w:t>
      </w:r>
    </w:p>
    <w:p w:rsidR="0081669C" w:rsidRPr="00311238" w:rsidRDefault="0081669C" w:rsidP="008908E0">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ж)</w:t>
      </w:r>
      <w:r w:rsidRPr="00311238">
        <w:rPr>
          <w:rFonts w:ascii="Times New Roman" w:hAnsi="Times New Roman" w:cs="Times New Roman"/>
        </w:rPr>
        <w:t xml:space="preserve"> </w:t>
      </w:r>
      <w:r w:rsidRPr="00311238">
        <w:rPr>
          <w:rFonts w:ascii="Times New Roman" w:hAnsi="Times New Roman" w:cs="Times New Roman"/>
          <w:color w:val="auto"/>
        </w:rPr>
        <w:t>российская организация федерального значения осуществляет производство конкурентоспособной промышленной продукции, соответствующей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 719, (за исключением производителей фармацевтической продукции</w:t>
      </w:r>
      <w:r w:rsidRPr="00311238">
        <w:rPr>
          <w:rFonts w:ascii="Times New Roman" w:hAnsi="Times New Roman" w:cs="Times New Roman"/>
        </w:rPr>
        <w:t xml:space="preserve"> </w:t>
      </w:r>
      <w:r w:rsidRPr="00311238">
        <w:rPr>
          <w:rFonts w:ascii="Times New Roman" w:hAnsi="Times New Roman" w:cs="Times New Roman"/>
          <w:color w:val="auto"/>
        </w:rPr>
        <w:t>и производителей продукции, заключивших специальный инвестиционный контракт, стороной которого является Российская Федерация) или обязуется обеспечить производство такой продукции в течение двух лет со дня заключения соглашения о предоставлении субсидии. Производители фармацевтической продукции, осуществляют производство продукции, соответствующей критериям, определенным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Соглашения о Правилах определения страны происхождения товаров) или обязуются обеспечить производство такой продукции не позднее 31 декабря 2023 года.</w:t>
      </w:r>
      <w:r w:rsidRPr="00311238">
        <w:rPr>
          <w:rFonts w:ascii="Times New Roman" w:hAnsi="Times New Roman" w:cs="Times New Roman"/>
        </w:rPr>
        <w:t xml:space="preserve"> </w:t>
      </w:r>
      <w:r w:rsidRPr="00311238">
        <w:rPr>
          <w:rFonts w:ascii="Times New Roman" w:hAnsi="Times New Roman" w:cs="Times New Roman"/>
          <w:color w:val="auto"/>
        </w:rPr>
        <w:t>Производители продукции, заключившие специальный инвестиционный контракт, стороной которого является Российская Федерация, осуществляют производство продукции в соответствии с условиями специального инвестиционного контракта.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9. Для участия в отборе российские организации федерального значения представляют в Министерство промышленности и торговли Российской Федерации при наличии технической возможности в соответствии с положениями регламента, предусмотренного пунктом 7 настоящих Правил (при отсутствии технической возможности документы представляются в бумажном виде), не позднее 4 марта 2019 г. и далее в случае размещения извещения о проведении отборе в соответствии с пунктом 6 настоящих Правил не позднее 1 ноября очередного финансового года заявку с приложением следующих документов:</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заявление о предоставлении субсидии составленное в произвольной форме, подписанное руководителем российской организации федерального значения с указанием:</w:t>
      </w:r>
    </w:p>
    <w:p w:rsidR="0081669C" w:rsidRPr="00311238" w:rsidRDefault="0081669C" w:rsidP="00AE6F7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наименования заявителя - юридического лица, фамилия, имя, отчество (при наличии) заявителя - индивидуального предпринимателя;</w:t>
      </w:r>
    </w:p>
    <w:p w:rsidR="0081669C" w:rsidRPr="00311238" w:rsidRDefault="0081669C" w:rsidP="00AE6F7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идентификационного номера налогоплательщика, основного государственного регистрационного номера - для юридического лица, основного государственный номера индивидуального предпринимателя - для индивидуального предпринимателя;</w:t>
      </w:r>
    </w:p>
    <w:p w:rsidR="0081669C" w:rsidRPr="00311238" w:rsidRDefault="0081669C" w:rsidP="00AE6F7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адрес местонахождения - для юридического лица, адреса регистрации по месту пребывания либо по месту жительства - для индивидуального предпринимателя;</w:t>
      </w:r>
    </w:p>
    <w:p w:rsidR="0081669C" w:rsidRPr="00311238" w:rsidRDefault="0081669C" w:rsidP="00A316C2">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наименование производимой конкурентоспособной промышленной продукции и ее коды в соответствии с Общероссийским классификатором продукции по видам экономической деятельности ОК 034-2014 (КПЕС 2008), а также коды Единой товарной номенклатуры внешнеэкономической деятельности Евразийского экономического союза, в соответствии с подпунктом «з» пункта 9 настоящих Правил (или продукции, которая будет произведена);</w:t>
      </w:r>
    </w:p>
    <w:p w:rsidR="0081669C" w:rsidRPr="00311238" w:rsidRDefault="0081669C" w:rsidP="00A316C2">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сведения об объеме субсидии, испрашиваемой из средств бюджетов бюджетной системы Российской Федерации на реализацию корпоративной программы международной конкурентоспособности до 2024 года, направленной на повышение конкурентоспособности, увеличение объемов производства и реализации промышленной продукции;</w:t>
      </w:r>
    </w:p>
    <w:p w:rsidR="0081669C" w:rsidRPr="00311238" w:rsidRDefault="0081669C" w:rsidP="00A316C2">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сведения о наличии специального инвестиционного контракта, стороной которого является Российская Федерация;</w:t>
      </w:r>
    </w:p>
    <w:p w:rsidR="0081669C" w:rsidRPr="00311238" w:rsidRDefault="0081669C" w:rsidP="00A316C2">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справка налогового органа, подтверждающая отсутствие</w:t>
      </w:r>
      <w:r w:rsidRPr="00311238">
        <w:rPr>
          <w:rFonts w:ascii="Times New Roman" w:hAnsi="Times New Roman" w:cs="Times New Roman"/>
          <w:color w:val="auto"/>
        </w:rPr>
        <w:br/>
        <w:t>у российской организации федерального значения на дату, установленную настоящими Правилами,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в) справка о соответствии российской организации федерального значения критериям, установленным подпунктами «в» - «е» пункта 8 настоящих Правил, подписанная руководителем российской организации федерального значения;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г) копия формы федерального статистического наблюдения № 1-натура-БМ «Сведения о производстве, отгрузке продукции и балансе производственных мощностей» за год, предшествующий году подачи заявления, заверенная руководителем производителя федерального значения;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д) утвержденная российской организацией федерального значения корпоративная программа международной конкурентоспособности, соответствующая типовым требованиям к корпоративной программе;</w:t>
      </w:r>
    </w:p>
    <w:p w:rsidR="0081669C" w:rsidRPr="00311238" w:rsidRDefault="0081669C" w:rsidP="00C3271C">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е) копия заключения о подтверждении производства промышленной продукции на территории Российской Федерации, выданного в соответствии с постановлением Правительства Российской Федерации от 17 июля 2015 г. № 719, производимой российской организацией федерального значения или письмо об обязательстве получения указанного заключения в течение двух лет со дня заключения соглашения о предоставлении субсидии, подписанное руководителем производителя федерального значения (за исключением производителей фармацевтической продукции и продукции, в отношении которой заключен специальный инвестиционный контракт, стороной которого является Российская Федерация). Для производителей фармацевтической продукции копия </w:t>
      </w:r>
      <w:r w:rsidRPr="00311238">
        <w:rPr>
          <w:rFonts w:ascii="Times New Roman" w:hAnsi="Times New Roman" w:cs="Times New Roman"/>
        </w:rPr>
        <w:t xml:space="preserve">сертификата о происхождении товара по форме СТ-1, выданного в соответствии с </w:t>
      </w:r>
      <w:r w:rsidRPr="00311238">
        <w:rPr>
          <w:rFonts w:ascii="Times New Roman" w:hAnsi="Times New Roman" w:cs="Times New Roman"/>
          <w:color w:val="auto"/>
        </w:rPr>
        <w:t>Соглашением о Правилах определения страны происхождения товаров или письмо об обязательстве получения указанного</w:t>
      </w:r>
      <w:r w:rsidRPr="00311238">
        <w:rPr>
          <w:rFonts w:ascii="Times New Roman" w:hAnsi="Times New Roman" w:cs="Times New Roman"/>
        </w:rPr>
        <w:t xml:space="preserve"> сертификата о происхождении товара по форме СТ-1 не позднее 31 декабря 2023 года</w:t>
      </w:r>
      <w:r w:rsidRPr="00311238">
        <w:rPr>
          <w:rFonts w:ascii="Times New Roman" w:hAnsi="Times New Roman" w:cs="Times New Roman"/>
          <w:color w:val="auto"/>
        </w:rPr>
        <w:t xml:space="preserve">; </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ж) письмо, подписанное лицом, исполняющим функции единоличного исполнительного органа основного (преобладающего) акционерного общества либо основного (преобладающего, участвующего) хозяйственного общества о согласии на заключение производителем федерального значения соглашения о предоставлении субсидии в целях поддержки деятельности производителя федерального значения, направленной на повышение конкурентоспособности, увеличение объемов производства и реализации такой продукции - в случае если организация является дочерним и (или) зависимым акционерным обществом или хозяйственным обществом по отношению к соответствующему юридическому лицу;</w:t>
      </w:r>
    </w:p>
    <w:p w:rsidR="0081669C" w:rsidRPr="00311238" w:rsidRDefault="0081669C" w:rsidP="00923A40">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з) копия бухгалтерской отчетности за год, предшествующий году подачи заявления, заверенная руководителем российской организации федерального значения и главным бухгалтером, либо лицом, на которое возложена обязанность ведения бухгалтерской отчетности;</w:t>
      </w:r>
    </w:p>
    <w:p w:rsidR="0081669C" w:rsidRPr="00311238" w:rsidRDefault="0081669C" w:rsidP="00923A40">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и) данные аналитического учета по счету 90 (анализ счета) в корреспонденции со счетами 62.1 и 62.11, заверенные руководителем российской организации федерального значения и главным бухгалтером, либо лицом, на которое возложена обязанность ведения бухгалтерской отчетности.</w:t>
      </w:r>
    </w:p>
    <w:p w:rsidR="0081669C" w:rsidRPr="00311238" w:rsidRDefault="0081669C" w:rsidP="00721E91">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Для участи в отборе в соответствии с настоящими Правилами российскими организации, производителями российской промышленной продукции, не прошедшими отбор, в соответствии с Правилами предоставления иных межбюджетных трансферов из федерального бюджета бюджетам субъектов Российской Федерации на софинансирование затрат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 утвержденными постановлением Правительства Российской Федерации от  №    (далее – Правила предоставления иных межбюджетных трансфертов) либо получившими отказ в заключении соглашения о предоставлении субсидии в соответствии с указанными Правилами, в дополнение к документам, указанным в настоящем пункте представляется письмо высшего должностного лица (руководителя высшего исполнительного органа государственной власти) субъекта Российской Федерации либо уполномоченного органа государственной власти субъекта Российской Федерации о непрохождении отбора в соответствии с Правилами предоставления иных межбюджетных трансферов</w:t>
      </w:r>
      <w:r w:rsidRPr="00311238">
        <w:rPr>
          <w:rFonts w:ascii="Times New Roman" w:hAnsi="Times New Roman" w:cs="Times New Roman"/>
        </w:rPr>
        <w:t xml:space="preserve"> </w:t>
      </w:r>
      <w:r w:rsidRPr="00311238">
        <w:rPr>
          <w:rFonts w:ascii="Times New Roman" w:hAnsi="Times New Roman" w:cs="Times New Roman"/>
          <w:color w:val="auto"/>
        </w:rPr>
        <w:t>либо об отказе в заключении соглашения о предоставлении субсидии в соответствии с указанными Правилами.</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10. При наличии технической возможности Министерство промышленности и торговли Российской Федерации самостоятельно запрашивает в Федеральной налоговой службе с использованием единой системы межведомственного электронного взаимодействия документы, предусмотренные подпунктами «б» пункта 9 настоящих Правил.</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11. Министерство промышленности и торговли Российской Федерации в рамках проведения отбора в течение 30 рабочих дней со дня истечения срока, предусмотренного пунктом 9 настоящих Правил, обеспечивает:</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а) регистрацию заявок с прилагаемыми документами (далее – заявка) в порядке их поступления. При этом основанием для отказа в принятии заявок для регистрации является их поступление в Министерство промышленности и торговли Российской Федерации после даты окончания срока подачи заявок, указанного в извещении о проведении отбора, в соответствии с подпунктом «а» пункта 6 настоящих Правил;</w:t>
      </w:r>
    </w:p>
    <w:p w:rsidR="0081669C" w:rsidRPr="00311238" w:rsidRDefault="0081669C" w:rsidP="0058374F">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б)</w:t>
      </w:r>
      <w:r w:rsidRPr="00311238">
        <w:rPr>
          <w:color w:val="auto"/>
          <w:sz w:val="22"/>
          <w:szCs w:val="22"/>
        </w:rPr>
        <w:t> </w:t>
      </w:r>
      <w:r w:rsidRPr="00311238">
        <w:rPr>
          <w:color w:val="auto"/>
          <w:sz w:val="22"/>
          <w:szCs w:val="22"/>
          <w:lang w:val="ru-RU"/>
        </w:rPr>
        <w:t>направление заявок в течение 5 рабочих дней после даты окончания срока подачи заявок, указанного в извещение о проведении отбора, в соответствии с подпунктом «а» пункта 6 настоящих Правил в Межведомственную комиссию;</w:t>
      </w:r>
    </w:p>
    <w:p w:rsidR="0081669C" w:rsidRPr="00311238" w:rsidRDefault="0081669C" w:rsidP="0058374F">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в) на основании решения Межведомственной комиссии в течение 5 рабочих дней направляет российской организации федерального значения информацию об отказе во включении в Единый перечень.</w:t>
      </w:r>
    </w:p>
    <w:p w:rsidR="0081669C" w:rsidRPr="00311238" w:rsidRDefault="0081669C" w:rsidP="00A96EC4">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12. В целях проведения отбора Межведомственной комиссией в течение 15 рабочих дней:</w:t>
      </w:r>
    </w:p>
    <w:p w:rsidR="0081669C" w:rsidRPr="00311238" w:rsidRDefault="0081669C" w:rsidP="00A96EC4">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а) рассматриваются заявки российских организаций федерального значения (включая корпоративные программы международной конкурентоспособности);</w:t>
      </w:r>
    </w:p>
    <w:p w:rsidR="0081669C" w:rsidRPr="00311238" w:rsidRDefault="0081669C" w:rsidP="00A96EC4">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б) проводится проверка заявок на соответствие положениям пунктов 8 и 9 настоящих Правил, в том числе соответствие оформления заявок, требованиям установленным указанными пунктами, а также полноты содержащихся в них сведений;</w:t>
      </w:r>
    </w:p>
    <w:p w:rsidR="0081669C" w:rsidRPr="00311238" w:rsidRDefault="0081669C" w:rsidP="007E71B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в) принимается решение о включении российских организаций федерального значения в Единый перечень либо решение об отказе во включении в Единый перечень, в случаях, установленных пунктом 13 настоящих Правил.</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13. Основаниями для отказа во включении российской организации федерального значения в Единый перечень являются:</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а) несоответствие российской организации федерального значения критериям, установленным пунктом 8 настоящих Правил;</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б) непредставление документов, предусмотренных пунктом 9 настоящих Правил;</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в) несоответствие представленных документов настоящим Правилам, а также</w:t>
      </w:r>
      <w:r w:rsidRPr="00311238">
        <w:rPr>
          <w:sz w:val="22"/>
          <w:szCs w:val="22"/>
          <w:lang w:val="ru-RU"/>
        </w:rPr>
        <w:t xml:space="preserve"> </w:t>
      </w:r>
      <w:r w:rsidRPr="00311238">
        <w:rPr>
          <w:color w:val="auto"/>
          <w:sz w:val="22"/>
          <w:szCs w:val="22"/>
          <w:lang w:val="ru-RU"/>
        </w:rPr>
        <w:t>корпоративной программе международной конкурентоспособности;</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г) значение показателя конкурентоспособности продукции ниже минимального значения такого показателя, установленного Правилами формирования Единого перечня;</w:t>
      </w:r>
    </w:p>
    <w:p w:rsidR="0081669C" w:rsidRPr="00311238" w:rsidRDefault="0081669C" w:rsidP="00F9025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д) испрашиваемый размер субсидии превышает предельный размер такой субсидии, предусмотренный Правилами формирования Единого перечня</w:t>
      </w:r>
    </w:p>
    <w:p w:rsidR="0081669C" w:rsidRPr="00311238" w:rsidRDefault="0081669C" w:rsidP="00F90257">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е) явного несоответствия корпоративной программы международной конкурентоспособности целям и задачам Национального проекта.</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14. Российские организации федерального значения, включенные в утвержденный Единый перечень, не позднее 30 рабочих дней со дня размещения Единого перечня в государственной информационной системе промышленности, а в случае внесения изменений в паспорт Национального проекта в соответствии с пунктом 12 Правил формирования Единого перечня, не позднее 30 рабочих дней со дня внесения таких изменений, представляют в Министерство промышленности и торговли Российской Федерации заявки о заключении соглашений о предоставлении субсидий в размере, предусмотренном Единым перечнем.</w:t>
      </w:r>
    </w:p>
    <w:p w:rsidR="0081669C" w:rsidRPr="00311238" w:rsidRDefault="0081669C" w:rsidP="0055035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15. В соответствии с перечнем представленным Межведомственной комиссией, в соответствии с подпунктом «а» пункта 7 Правил формирования Единого перечня Министерством промышленности и торговли Российской Федерации заключаются соглашения о предоставлении субсидий с российскими организациями федерального значения, начиная с организации, имеющей наивысший ранг в Едином перечне, и далее по уменьшению ранга в пределах отраслевых лимитов.</w:t>
      </w:r>
    </w:p>
    <w:p w:rsidR="0081669C" w:rsidRPr="00311238" w:rsidRDefault="0081669C" w:rsidP="003002E2">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В случае отказа российской организации федерального значения заключить соглашение о предоставлении субсидии Министерство промышленности и торговли Российской Федерации заключает соглашение о предоставлении субсидии с российской организации федерального значения, порядковый ранг которой следует за порядковым рангом российской организации федерального значения, отказавшейся от заключения соглашения о предоставлении субсидии.</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 xml:space="preserve">Соглашения о предоставлении субсидий заключаются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Российской Федерации, и подписываются российскими организациями федерального значения и Министерством промышленности и торговли Российской Федерации. </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contextualSpacing/>
        <w:jc w:val="both"/>
        <w:rPr>
          <w:color w:val="auto"/>
          <w:sz w:val="22"/>
          <w:szCs w:val="22"/>
          <w:lang w:val="ru-RU"/>
        </w:rPr>
      </w:pPr>
      <w:r w:rsidRPr="00311238">
        <w:rPr>
          <w:color w:val="auto"/>
          <w:sz w:val="22"/>
          <w:szCs w:val="22"/>
          <w:lang w:val="ru-RU"/>
        </w:rPr>
        <w:t>В соответствии с перечнем представленным Межведомственной комиссией, в соответствии с подпунктом «а» пункта 7 Правил формирования Единого перечня Министерством промышленности и торговли Российской Федерации направляется информацию об отсутствии возможности заключить соглашения о предоставлении субсидии, соответствующим российским организациям федерального значения.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16. Соглашения о предоставлении субсидий заключаются в соответствии с типовой формой, установленной Министерством финансов Российской Федерации, и предусматривают в том числе:</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срок действия соглашения – на период до 2024 года;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порядок, условия перечисления субсидии в период действия соглашения;</w:t>
      </w:r>
    </w:p>
    <w:p w:rsidR="0081669C" w:rsidRPr="00311238" w:rsidRDefault="0081669C" w:rsidP="007D1431">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в) требование к ведению организацией раздельного учета;</w:t>
      </w:r>
    </w:p>
    <w:p w:rsidR="0081669C" w:rsidRPr="00311238" w:rsidRDefault="0081669C" w:rsidP="0055035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г) предусмотренные корпоративной программой международной конкурентоспособности:</w:t>
      </w:r>
    </w:p>
    <w:p w:rsidR="0081669C" w:rsidRPr="00311238" w:rsidRDefault="0081669C" w:rsidP="0055035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размер субсидии и сроки ее перечисления в период действия соглашения с разбивкой по годам;</w:t>
      </w:r>
    </w:p>
    <w:p w:rsidR="0081669C" w:rsidRPr="00311238" w:rsidRDefault="0081669C" w:rsidP="00523BC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значения показателей результативности использования субсидии с разбивкой по годам на период действия соглашения (далее – показатели результативности</w:t>
      </w:r>
      <w:r w:rsidRPr="00311238">
        <w:rPr>
          <w:rFonts w:ascii="Times New Roman" w:hAnsi="Times New Roman" w:cs="Times New Roman"/>
        </w:rPr>
        <w:t xml:space="preserve"> </w:t>
      </w:r>
      <w:r w:rsidRPr="00311238">
        <w:rPr>
          <w:rFonts w:ascii="Times New Roman" w:hAnsi="Times New Roman" w:cs="Times New Roman"/>
          <w:color w:val="auto"/>
        </w:rPr>
        <w:t>использования субсидии);</w:t>
      </w:r>
    </w:p>
    <w:p w:rsidR="0081669C" w:rsidRPr="00311238" w:rsidRDefault="0081669C" w:rsidP="00523BC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сроки реализации мероприятий, предусмотренные корпоративной программой международной конкурентоспособности, на которые могут быть направлены средства субсидии;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tabs>
          <w:tab w:val="left" w:pos="426"/>
        </w:tabs>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д) права, обязанности сторон и порядок их взаимодействия при исполнении соглашения, в том числе условия расторжения указанного соглашения;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е) порядок, формы и сроки представления получателем субсидии отчетности о достижении значений показателя результативности использования субсидии и выполнения установленных сроков реализации мероприятий, предусмотренных корпоративной программой международной конкурентоспособности; </w:t>
      </w:r>
    </w:p>
    <w:p w:rsidR="0081669C" w:rsidRPr="00311238" w:rsidRDefault="0081669C" w:rsidP="00DB14B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ж)</w:t>
      </w:r>
      <w:r w:rsidRPr="00311238">
        <w:rPr>
          <w:rFonts w:ascii="Times New Roman" w:hAnsi="Times New Roman" w:cs="Times New Roman"/>
        </w:rPr>
        <w:t xml:space="preserve"> </w:t>
      </w:r>
      <w:r w:rsidRPr="00311238">
        <w:rPr>
          <w:rFonts w:ascii="Times New Roman" w:hAnsi="Times New Roman" w:cs="Times New Roman"/>
          <w:color w:val="auto"/>
        </w:rPr>
        <w:t>порядок, формы и сроки представления получателем субсидии отчета о целевом использовании субсидии с приложением документов, подтверждающих направление средств субсидии на указанные мероприятия;</w:t>
      </w:r>
    </w:p>
    <w:p w:rsidR="0081669C" w:rsidRPr="00311238" w:rsidRDefault="0081669C" w:rsidP="00DB14B7">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з) обязательство по предоставлению выписки со счетов бухгалтерского учета, на котором ведется раздельный учет расходов на реализацию корпоративной программы международной конкурентоспособности, с приложением документов, подтверждающих привлечение средств организации на ее реализацию;</w:t>
      </w:r>
    </w:p>
    <w:p w:rsidR="0081669C" w:rsidRPr="00311238" w:rsidRDefault="0081669C" w:rsidP="00DB14B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и) выписка из лицевых счетов организации, открытого в территориальном органе Федерального казначейства, с которого осуществлялась финансовое обеспечение части затрат, связанных с реализацией корпоративной программы международной конкурентоспособности;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к) ответственность получателя субсидии за нарушение обязательств, установленных соглашением, в том числе недостижения показателей результативности использования субсидии, установленных соглашением, и нарушения сроков осуществления мероприятий, предусмотренных соглашением;</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tabs>
          <w:tab w:val="left" w:pos="426"/>
        </w:tabs>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л) согласие получателя субсидии на проведение Министерством промышленности и торговли Российской Федерации и (или) уполномоченными органами государственного финансового контроля проверок соблюдения получателем субсидии обязательств, предусмотренных соглашением;</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tabs>
          <w:tab w:val="left" w:pos="426"/>
        </w:tabs>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м)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указанных в пункте 2 настоящих Правил;</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н) регламент, предусмотренный пунктом 7 настоящих Правил;</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о) порядок внесения изменений в соглашение в случае сокращения бюджетных ассигнований (больше чем на 20 процентов),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цели, указанные в пункте 2 настоящих Правил;</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 порядок и сроки предоставления копии заключения о подтверждении производства промышленной продукции на территории Российской Федерации, выданного в соответствии с постановлением Правительства Российской Федерации от 17 июля 2015 г. № 719, производимой российской организацией федерального значения или письмо об обязательстве получения указанного заключения в течение двух лет со дня заключения соглашения о предоставлении субсидии, подписанное руководителем производителя федерального значения (за исключением производителей фармацевтической продукции и продукции, в отношении которой заключен специальный инвестиционный контракт, стороной которого является Российская Федерация). Для производителей фармацевтической продукции копия сертификата о происхождении товара по форме СТ-1, выданного в соотвестствии с Соглашением о Правилах определения страны происхождения товаров или письмо об обязательстве получения указанного сертификата о происхождении товара по форме СТ-1 не позднее 31 декабря 2023 года;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р) порядок, формы и сроки представления отчета об итогах реализации корпоративной программы международной конкурентоспособности.</w:t>
      </w:r>
    </w:p>
    <w:p w:rsidR="0081669C" w:rsidRPr="00311238" w:rsidRDefault="0081669C" w:rsidP="00523BC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17. Для получения субсидии российские организация федерального значения</w:t>
      </w:r>
      <w:r w:rsidRPr="00311238">
        <w:rPr>
          <w:rFonts w:ascii="Times New Roman" w:hAnsi="Times New Roman" w:cs="Times New Roman"/>
        </w:rPr>
        <w:t xml:space="preserve"> </w:t>
      </w:r>
      <w:r w:rsidRPr="00311238">
        <w:rPr>
          <w:rFonts w:ascii="Times New Roman" w:hAnsi="Times New Roman" w:cs="Times New Roman"/>
          <w:color w:val="auto"/>
        </w:rPr>
        <w:t>ежегодно не позднее 15 февраля года, следующего за отчетным представляют в Министерство промышленности и торговли Российской Федерации:</w:t>
      </w:r>
    </w:p>
    <w:p w:rsidR="0081669C" w:rsidRPr="00311238" w:rsidRDefault="0081669C" w:rsidP="00523BC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а) отчет о достижении значений показателей результативности использования субсидии, предусмотренный соглашением о предоставлении субсидии;</w:t>
      </w:r>
    </w:p>
    <w:p w:rsidR="0081669C" w:rsidRPr="00311238" w:rsidRDefault="0081669C" w:rsidP="00523BC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б) отчет о целевом использовании субсидии с приложением документов, подтверждающих целевое направление средств субсидии,</w:t>
      </w:r>
      <w:r w:rsidRPr="00311238">
        <w:rPr>
          <w:sz w:val="22"/>
          <w:szCs w:val="22"/>
          <w:lang w:val="ru-RU"/>
        </w:rPr>
        <w:t xml:space="preserve"> </w:t>
      </w:r>
      <w:r w:rsidRPr="00311238">
        <w:rPr>
          <w:color w:val="auto"/>
          <w:sz w:val="22"/>
          <w:szCs w:val="22"/>
          <w:lang w:val="ru-RU"/>
        </w:rPr>
        <w:t>в соответствии с формой, установленной соглашением;</w:t>
      </w:r>
    </w:p>
    <w:p w:rsidR="0081669C" w:rsidRPr="00311238" w:rsidRDefault="0081669C" w:rsidP="00523BC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в) отчет о выполнении установленных сроков реализации мероприятий, предусмотренных корпоративной программой международной конкурентоспособности в соответствии с формой, установленной соглашением</w:t>
      </w:r>
      <w:r w:rsidRPr="00311238">
        <w:rPr>
          <w:sz w:val="22"/>
          <w:szCs w:val="22"/>
          <w:lang w:val="ru-RU"/>
        </w:rPr>
        <w:t xml:space="preserve"> о предоставлении субсидии</w:t>
      </w:r>
      <w:r w:rsidRPr="00311238">
        <w:rPr>
          <w:color w:val="auto"/>
          <w:sz w:val="22"/>
          <w:szCs w:val="22"/>
          <w:lang w:val="ru-RU"/>
        </w:rPr>
        <w:t>;</w:t>
      </w:r>
    </w:p>
    <w:p w:rsidR="0081669C" w:rsidRPr="00311238" w:rsidRDefault="0081669C" w:rsidP="00523BC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г) документы, установленные соглашением о предоставлении субсидии, в том числе документы, предусмотренные подпунктом «п» пункта 16 настоящих Правил;</w:t>
      </w:r>
    </w:p>
    <w:p w:rsidR="0081669C" w:rsidRPr="00311238" w:rsidRDefault="0081669C" w:rsidP="00DB14B7">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д) справку, подписанную руководителем российской организации федерального значения о том, что организация не получает средств из федерального бюджета и бюджетов субъектов Российской Федерации на основании иных нормативных актов на цели, указанные в пункте 2 настоящих Правил.</w:t>
      </w:r>
    </w:p>
    <w:p w:rsidR="0081669C" w:rsidRPr="00311238" w:rsidRDefault="0081669C" w:rsidP="00C561D4">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18. Министерство промышленности и торговли Российской Федерации регистрирует документы, указанные в пункте 17 настоящих Правил, в порядке их поступления, рассматривает их в течение 20 рабочих дней и принимает решение о предоставлении субсидии, о приостановлении выдачи субсидии (в соответствии с пунктом 25 настоящих Правил) или решение об отказе в предоставлении субсидии по следующим основаниям:</w:t>
      </w:r>
    </w:p>
    <w:p w:rsidR="0081669C" w:rsidRPr="00311238" w:rsidRDefault="0081669C" w:rsidP="0059188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непредставление или представление не в полном объеме документов, предусмотренных пунктом 17 настоящих Правил;</w:t>
      </w:r>
    </w:p>
    <w:p w:rsidR="0081669C" w:rsidRPr="00311238" w:rsidRDefault="0081669C" w:rsidP="0059188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несоответствие представленных документов пункту 17 настоящих Правил;</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в) недостаток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указанные в пункте</w:t>
      </w:r>
      <w:hyperlink w:anchor="P44" w:history="1">
        <w:r w:rsidRPr="00311238">
          <w:rPr>
            <w:rFonts w:ascii="Times New Roman" w:hAnsi="Times New Roman" w:cs="Times New Roman"/>
            <w:color w:val="auto"/>
          </w:rPr>
          <w:t xml:space="preserve"> 2</w:t>
        </w:r>
      </w:hyperlink>
      <w:r w:rsidRPr="00311238">
        <w:rPr>
          <w:rFonts w:ascii="Times New Roman" w:hAnsi="Times New Roman" w:cs="Times New Roman"/>
          <w:color w:val="auto"/>
        </w:rPr>
        <w:t xml:space="preserve"> настоящих Правил.</w:t>
      </w:r>
    </w:p>
    <w:p w:rsidR="0081669C" w:rsidRPr="00311238" w:rsidRDefault="0081669C" w:rsidP="0059188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19. Перечисление субсидии российской организации федерального значения осуществляется Федеральным казначейством в пределах сумм, необходимых для оплаты денежных обязательств по расходам организации, источником финансирования которых является субсидия. Перечисление средств субсидии осуществляется на лицевой счет организации, открытый в территориальном органе Федерального казначейства для учета средств организаций, не являющихся участниками бюджетного процесса, не позднее второго рабочего дня, следующего за днем представления организацией в территориальный орган Федерального казначейства платежных документов на оплату денежных обязательств, после их проверки в соответствии с порядком санкционирования целевых средств.</w:t>
      </w:r>
    </w:p>
    <w:p w:rsidR="0081669C" w:rsidRPr="00311238" w:rsidRDefault="0081669C" w:rsidP="00C561D4">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20. В случае непредставления отчетов, предусмотренных соглашением о предоставлении субсидии и пунктом 17 настоящих Правил российские организации федерального значения - получатели субсидий уплачивают пени, размер которых составляет одну трехсотую ключевой ставки, установленной Центральным банком Российской Федерации (действующей на день начала начисления пени), от размера предоставленной ему субсидии за каждый день просрочки до дня представления отчета в Министерство промышленности и торговли Российской Федерации.</w:t>
      </w:r>
    </w:p>
    <w:p w:rsidR="0081669C" w:rsidRPr="00311238" w:rsidRDefault="0081669C" w:rsidP="00C561D4">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21. В случае если российскими организациями федерального значения - получателями субсидий по состоянию на 31 декабря года предоставления субсидии допущены нарушения обязательств по достижению значений показателей результативности использования субсидии, установленные соглашением о предоставлении субсидии и до 1 сентября года, следующего за годом предоставления субсидии, указанные нарушения не устранены, Министерство промышленности и торговли Российской Федерации в одностороннем внесудебном порядке расторгает соглашение о предоставлении субсидии, заключенное с таким получателем субсидии.</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22. Расторжение соглашения о предоставлении субсидии осуществляется путем направления получателю субсидии уведомления о расторжении соглашения с указанием причин в течение 5 рабочих дней со дня истечения срока устранения нарушения обязательств. </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Соглашение о предоставлении субсидии считается расторгнутым через 10 календарных дней со дня направления получателю субсидии уведомления о расторжении такого соглашения.</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23. Получатель субсидии в 10-дневный срок со дня получения уведомления о расторжении соглашения о предоставлении субсидии осуществляет возврат в федеральный бюджет средств субсидии по формуле:</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Vвозврата = Vсубсидии * ΔS факт  / ΔS план   ,  где:</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Vсубсидии - объем субсидии, предоставленной получателю субсидии в соответствии с соглашением нарастающим итогом;</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ΔS факт - фактически достигнутое значение показателя результативности на 31 декабря отчетного года нарастающим итогом;</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ΔS план - плановое значение показателя результативности на 31 декабря отчетного года, предусмотренное соглашением, нарастающим итогом;</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уплачивает штраф P, рассчитываемый по формуле:</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P = Vвозврата × t × i , </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где:</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t – период использования возвращаемой суммы субсидии, который рассчитывается как:</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период использования эквивалентной суммы субсидии за год, предшествующий году расторжения соглашения до дня возврата субсидии – для организаций, не осуществляющих в рамках корпоративной программы международной конкурентоспособности реализацию инвестиционных проектов;</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 период использования эквивалентной суммы субсидии за период с даты заключения соглашения до дня возврата субсидии – для организаций, осуществляющих в рамках корпоративной программы международной конкурентоспособности реализацию инвестиционных проектов;</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i – одна трехсотая ключевой ставки, установленной Центральным банком.</w:t>
      </w:r>
    </w:p>
    <w:p w:rsidR="0081669C" w:rsidRPr="00311238" w:rsidRDefault="0081669C" w:rsidP="00B8612E">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24. В случае если российской организацией федерального значения - получателем субсидий допущены нарушения обязательств по выполнению в установленные сроки мероприятий, предусмотренных корпоративной программой международной конкурентоспособности, а также в случае непредставления документов, предусмотренных подпунктом «п» пункта 16 настоящих Правил  и в срок не позднее 6 месяцев со дня нарушения указанных обязательств такие нарушения не устранены, организации федерального значения - получатели субсидий уплачивают пени, размер которых составляет одну трехсотую ключевой ставки, установленной Центральным банком Российской Федерации (действующей на день начала начисления пени), от размера предоставленной в рамках соглашения субсидии за каждый день просрочки до дня представления отчета в Министерство промышленности и торговли Российской Федерации о выполнении принятых обязательств</w:t>
      </w:r>
    </w:p>
    <w:p w:rsidR="0081669C" w:rsidRPr="00311238" w:rsidRDefault="0081669C" w:rsidP="00626CFB">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25. На период до устранения нарушений обязательств, предусмотренных пунктами 21 и 24 настоящих Правил, предоставление субсидий приостанавливается. В случае устранения таких нарушений в установленные сроки предоставление субсидии возобновляется в порядке, установленном настоящими Правилами.</w:t>
      </w:r>
    </w:p>
    <w:p w:rsidR="0081669C" w:rsidRPr="00311238" w:rsidRDefault="0081669C" w:rsidP="00626CFB">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В целях подтверждения устранения таких нарушений получатель субсидии представляет в Министерство промышленности и торговли Российской Федерации соответствующий отчет и документы, подтверждающие достижение значения показателя результативности использования субсидии, установленного соглашением о предоставлении субсидии, и (или) выполнение мероприятия, предусмотренного соглашением.</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26. Российская организация федерального значения вправе обратиться в Министерство промышленности и торговли Российской Федерации с заявлением об изменении значений показателей результативности использования субсидии, установленные соглашением о предоставлении, а также сроков реализации и перечня мероприятий, предусмотренных соглашением</w:t>
      </w:r>
      <w:r w:rsidRPr="00311238">
        <w:rPr>
          <w:rFonts w:ascii="Times New Roman" w:hAnsi="Times New Roman" w:cs="Times New Roman"/>
        </w:rPr>
        <w:t xml:space="preserve"> </w:t>
      </w:r>
      <w:r w:rsidRPr="00311238">
        <w:rPr>
          <w:rFonts w:ascii="Times New Roman" w:hAnsi="Times New Roman" w:cs="Times New Roman"/>
          <w:color w:val="auto"/>
        </w:rPr>
        <w:t>о предоставлении субсидии, в следующих случаях:</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введение торговых и экономических санкций в отношении российских юридических и (или) физических лиц;</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изменение валютных курсов более чем на 15 процентов с фиксацией в течение не менее чем 6 месяцев, предшествующих обращению;</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в) изменение стоимости сырья на мировых товарных рынках не менее чем на 15 процентов с фиксацией в течение не менее чем 6 месяцев, предшествующих обращению;</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г) изменение цен (тарифов) на товары (работы, услуги) субъектов естественных монополий на показатель, превышающий значение уровня инфляции, плюс 1 процентный пункт;</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д) введение Правительством Российской Федерации мер, ограничивающих закупку иностранного оборудования, сырья и комплектующих, повлекших изменение срока реализации мероприятий, указанных в соглашении</w:t>
      </w:r>
      <w:r w:rsidRPr="00311238">
        <w:rPr>
          <w:rFonts w:ascii="Times New Roman" w:hAnsi="Times New Roman" w:cs="Times New Roman"/>
        </w:rPr>
        <w:t xml:space="preserve"> </w:t>
      </w:r>
      <w:r w:rsidRPr="00311238">
        <w:rPr>
          <w:rFonts w:ascii="Times New Roman" w:hAnsi="Times New Roman" w:cs="Times New Roman"/>
          <w:color w:val="auto"/>
        </w:rPr>
        <w:t>о предоставлении субсидии;</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е) возникновение обстоятельств непреодолимой силы.</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27. К заявлению об изменении срока реализации и перечня мероприятий, указанных в соглашении</w:t>
      </w:r>
      <w:r w:rsidRPr="00311238">
        <w:rPr>
          <w:rFonts w:ascii="Times New Roman" w:hAnsi="Times New Roman" w:cs="Times New Roman"/>
        </w:rPr>
        <w:t xml:space="preserve"> </w:t>
      </w:r>
      <w:r w:rsidRPr="00311238">
        <w:rPr>
          <w:rFonts w:ascii="Times New Roman" w:hAnsi="Times New Roman" w:cs="Times New Roman"/>
          <w:color w:val="auto"/>
        </w:rPr>
        <w:t xml:space="preserve">о предоставлении субсидии прилагаются актуализированные корпоративная программа международной конкурентоспособности, и отчет о реализации мероприятий, включенных в соглашение о предоставлении субсидии по состоянию на день подачи такого заявления и документы, обосновывающие необходимость внесения таких изменений. </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28. Министерство промышленности и торговли Российской Федерации в течение 5 рабочих дней со дня получения документов, указанных в пункте 27 настоящих Правил, направляет их на рассмотрение в Межведомственную комиссию.</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Межведомственной комиссией рассматриваются указанные документы и с учетом пункта 26 настоящих Правил, принимается решение о возможности (отсутствия возможности) внесения изменений в соглашение о предоставлении субсидии.</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На основании решения Межведомственной комиссии в соглашение о предоставлении субсидии Министерством промышленности и торговли Российской Федерации вносятся соответствующие изменения.</w:t>
      </w:r>
    </w:p>
    <w:p w:rsidR="0081669C" w:rsidRPr="00311238" w:rsidRDefault="0081669C" w:rsidP="00626CFB">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29. Министерство промышленности и торговли Российской Федерации, органы государственного финансового контроля осуществляют проверку целей и условий использования субсидий.</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30. В случае установления по итогам проверок, проведенных Министерством промышленности и торговли Российской Федерации и (или) органами государственного финансового контроля, фактов нарушения целей предоставления субсидий, установленных при предоставлении субсидии, а также в случае недостижения показателя результативности использования субсидии, по результатам окончания реализации корпоративной программы международной конкурентоспособности, организация обязана возвратить в доход федерального бюджета полученные субсидии в полном объеме:</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на основании требования Министерства промышленности и торговли Российской Федерации - не позднее 10-го рабочего дня со дня получения организацией указанного требования;</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на основании представления и (или) предписания уполномоченного органа государственного финансового контроля - в сроки, установленные в соответствии с бюджетным законодательством Российской Федерации.</w:t>
      </w:r>
    </w:p>
    <w:p w:rsidR="0081669C" w:rsidRPr="00311238" w:rsidRDefault="0081669C" w:rsidP="00732013">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sectPr w:rsidR="0081669C" w:rsidRPr="00311238">
          <w:pgSz w:w="11900" w:h="16840"/>
          <w:pgMar w:top="1134" w:right="567" w:bottom="1134" w:left="1134" w:header="709" w:footer="709" w:gutter="0"/>
          <w:pgNumType w:start="1"/>
          <w:cols w:space="720"/>
          <w:titlePg/>
          <w:docGrid w:linePitch="326"/>
        </w:sect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6237"/>
        <w:jc w:val="center"/>
        <w:outlineLvl w:val="0"/>
        <w:rPr>
          <w:rFonts w:ascii="Times New Roman" w:hAnsi="Times New Roman" w:cs="Times New Roman"/>
          <w:color w:val="auto"/>
        </w:rPr>
      </w:pPr>
      <w:r w:rsidRPr="00311238">
        <w:rPr>
          <w:rFonts w:ascii="Times New Roman" w:hAnsi="Times New Roman" w:cs="Times New Roman"/>
          <w:color w:val="auto"/>
        </w:rPr>
        <w:t>Утверждены</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6237"/>
        <w:jc w:val="center"/>
        <w:rPr>
          <w:rFonts w:ascii="Times New Roman" w:hAnsi="Times New Roman" w:cs="Times New Roman"/>
          <w:color w:val="auto"/>
        </w:rPr>
      </w:pPr>
      <w:r w:rsidRPr="00311238">
        <w:rPr>
          <w:rFonts w:ascii="Times New Roman" w:hAnsi="Times New Roman" w:cs="Times New Roman"/>
          <w:color w:val="auto"/>
        </w:rPr>
        <w:t>постановлением Правительства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6237"/>
        <w:jc w:val="center"/>
        <w:rPr>
          <w:rFonts w:ascii="Times New Roman" w:hAnsi="Times New Roman" w:cs="Times New Roman"/>
          <w:color w:val="auto"/>
        </w:rPr>
      </w:pPr>
      <w:r w:rsidRPr="00311238">
        <w:rPr>
          <w:rFonts w:ascii="Times New Roman" w:hAnsi="Times New Roman" w:cs="Times New Roman"/>
          <w:color w:val="auto"/>
        </w:rPr>
        <w:t>Российской Федерации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6237"/>
        <w:jc w:val="center"/>
        <w:rPr>
          <w:rFonts w:ascii="Times New Roman" w:hAnsi="Times New Roman" w:cs="Times New Roman"/>
          <w:color w:val="auto"/>
        </w:rPr>
      </w:pPr>
      <w:r w:rsidRPr="00311238">
        <w:rPr>
          <w:rFonts w:ascii="Times New Roman" w:hAnsi="Times New Roman" w:cs="Times New Roman"/>
          <w:color w:val="auto"/>
        </w:rPr>
        <w:t>от _____ г. № _____________</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jc w:val="both"/>
        <w:rPr>
          <w:rFonts w:ascii="Times New Roman" w:hAnsi="Times New Roman" w:cs="Times New Roman"/>
          <w:color w:val="auto"/>
        </w:rPr>
      </w:pPr>
    </w:p>
    <w:p w:rsidR="0081669C" w:rsidRPr="00311238"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color w:val="auto"/>
        </w:rPr>
      </w:pPr>
      <w:bookmarkStart w:id="3" w:name="P36"/>
      <w:bookmarkEnd w:id="3"/>
      <w:r w:rsidRPr="00311238">
        <w:rPr>
          <w:rFonts w:ascii="Times New Roman" w:hAnsi="Times New Roman" w:cs="Times New Roman"/>
          <w:color w:val="auto"/>
        </w:rPr>
        <w:t>ПРАВИЛА</w:t>
      </w:r>
    </w:p>
    <w:p w:rsidR="0081669C" w:rsidRPr="00311238" w:rsidRDefault="0081669C" w:rsidP="00457860">
      <w:pPr>
        <w:pStyle w:val="ConsPlusTitle"/>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color w:val="auto"/>
        </w:rPr>
      </w:pPr>
      <w:r w:rsidRPr="00311238">
        <w:rPr>
          <w:rFonts w:ascii="Times New Roman" w:hAnsi="Times New Roman" w:cs="Times New Roman"/>
          <w:color w:val="auto"/>
        </w:rPr>
        <w:t>предоставления иных межбюджетных трансфертов из федерального бюджета бюджетам субъектов Российской Федерации на софинансирование затрат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w:t>
      </w:r>
    </w:p>
    <w:p w:rsidR="0081669C" w:rsidRPr="00311238" w:rsidRDefault="0081669C" w:rsidP="00676819">
      <w:pPr>
        <w:pStyle w:val="ConsPlusTitle"/>
        <w:pBdr>
          <w:top w:val="none" w:sz="0" w:space="0" w:color="auto"/>
          <w:left w:val="none" w:sz="0" w:space="0" w:color="auto"/>
          <w:bottom w:val="none" w:sz="0" w:space="0" w:color="auto"/>
          <w:right w:val="none" w:sz="0" w:space="0" w:color="auto"/>
          <w:bar w:val="none" w:sz="0" w:color="auto"/>
        </w:pBdr>
        <w:spacing w:after="0" w:line="360" w:lineRule="auto"/>
        <w:jc w:val="center"/>
        <w:rPr>
          <w:rFonts w:ascii="Times New Roman" w:hAnsi="Times New Roman" w:cs="Times New Roman"/>
          <w:color w:val="auto"/>
        </w:rPr>
      </w:pP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1. Настоящие Правила устанавливают цели, порядок и условия предоставления бюджетам субъектов Российской Федерации </w:t>
      </w:r>
      <w:r w:rsidRPr="00311238">
        <w:rPr>
          <w:rFonts w:ascii="Times New Roman" w:hAnsi="Times New Roman" w:cs="Times New Roman"/>
          <w:bCs/>
          <w:color w:val="auto"/>
        </w:rPr>
        <w:t xml:space="preserve">иных межбюджетных трансфертов из федерального бюджета бюджетам субъектов Российской Федерации на софинансирование затрат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 </w:t>
      </w:r>
      <w:r w:rsidRPr="00311238">
        <w:rPr>
          <w:rFonts w:ascii="Times New Roman" w:hAnsi="Times New Roman" w:cs="Times New Roman"/>
          <w:color w:val="auto"/>
        </w:rPr>
        <w:t>(далее – производители продукции, иные межбюджетные трансферты).</w:t>
      </w:r>
    </w:p>
    <w:p w:rsidR="0081669C" w:rsidRPr="00311238" w:rsidRDefault="0081669C" w:rsidP="00673BF4">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2. Иные межбюджетные трансферты предоставляются в рамках федерального проекта «Промышленный экспорт» в составе национального проекта «Международная кооперация и экспорт» (далее – Национальный проект) в целях софинансирования затрат по предоставлению субсидий из бюджета субъекта Российской Федерации производителям продукции, реализующим корпоративные программы международной конкурентоспособности, на финансовое обеспечение части затрат, предусмотренных указанными программами.</w:t>
      </w:r>
    </w:p>
    <w:p w:rsidR="0081669C" w:rsidRPr="00311238" w:rsidRDefault="0081669C" w:rsidP="0003614A">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Субсидии из бюджета субъекта Российской Федерации</w:t>
      </w:r>
      <w:r w:rsidRPr="00311238">
        <w:rPr>
          <w:rFonts w:ascii="Times New Roman" w:hAnsi="Times New Roman" w:cs="Times New Roman"/>
        </w:rPr>
        <w:t xml:space="preserve"> </w:t>
      </w:r>
      <w:r w:rsidRPr="00311238">
        <w:rPr>
          <w:rFonts w:ascii="Times New Roman" w:hAnsi="Times New Roman" w:cs="Times New Roman"/>
          <w:color w:val="auto"/>
        </w:rPr>
        <w:t>предоставляются производителям продукции, прошедшим отбор в соответствии с настоящими Правилами, включенным в Единый перечень российских организаций, реализующих корпоративные программы международной конкурентоспособности (далее – Единый перечень), и заключившими соглашения о предоставлении субсидии</w:t>
      </w:r>
      <w:r w:rsidRPr="00311238">
        <w:rPr>
          <w:rFonts w:ascii="Times New Roman" w:hAnsi="Times New Roman" w:cs="Times New Roman"/>
        </w:rPr>
        <w:t xml:space="preserve"> </w:t>
      </w:r>
      <w:r w:rsidRPr="00311238">
        <w:rPr>
          <w:rFonts w:ascii="Times New Roman" w:hAnsi="Times New Roman" w:cs="Times New Roman"/>
          <w:color w:val="auto"/>
        </w:rPr>
        <w:t>из бюджета субъекта Российской Федерации.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3. Иные межбюджетные трансферты предоставляются Министерством промышленности и торговли Российской Федерации в пределах бюджетных ассигнований, предусмотренных федеральным законом о федеральном бюджете (сводной бюджетной росписью федерального бюджета) на соответствующий финансовый год и плановый период, и лимитов бюджетных обязательств, доведенных Министерству промышленности и торговли Российской Федерации как получателю средств федерального бюджета на цели, указанные в пункте 2 настоящих Правил.</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4. Условиями предоставления иных межбюджетных трансфертов являются: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наличие в бюджете субъекта Российской Федерации на текущий финансовый год и плановый период бюджетных ассигнований на исполнение расходного обязательства субъекта Российской Федерации по предоставлению субсидий из бюджета субъекта Российской Федерации в объеме не меньшем, чем объем, необходимый для обеспечения предельного уровня софинансирования расходных обязательств субъекта Российской Федерации из федерального бюджета, устанавливаемого Правительством Российской Федерации;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bookmarkStart w:id="4" w:name="P50"/>
      <w:bookmarkEnd w:id="4"/>
      <w:r w:rsidRPr="00311238">
        <w:rPr>
          <w:rFonts w:ascii="Times New Roman" w:hAnsi="Times New Roman" w:cs="Times New Roman"/>
          <w:color w:val="auto"/>
        </w:rPr>
        <w:t>б) заключение соглашения между Министерством промышленности и торговли Российской Федерации и высшим должностным лицом (руководителем высшего исполнительного органа государственной власти) субъекта Российской Федерации соглашения о предоставлении иного межбюджетного трансферта из федерального бюджета в соответствии с пунктом 5 настоящих Правил;</w:t>
      </w:r>
    </w:p>
    <w:p w:rsidR="0081669C" w:rsidRPr="00311238" w:rsidRDefault="0081669C" w:rsidP="00356A2A">
      <w:pPr>
        <w:pStyle w:val="ListParagraph"/>
        <w:tabs>
          <w:tab w:val="left" w:pos="993"/>
        </w:tabs>
        <w:spacing w:after="0" w:line="360" w:lineRule="auto"/>
        <w:ind w:left="0" w:firstLine="709"/>
        <w:jc w:val="both"/>
        <w:rPr>
          <w:rFonts w:ascii="Times New Roman" w:hAnsi="Times New Roman"/>
        </w:rPr>
      </w:pPr>
      <w:r w:rsidRPr="00311238">
        <w:rPr>
          <w:rFonts w:ascii="Times New Roman" w:hAnsi="Times New Roman"/>
        </w:rPr>
        <w:t>в) наличие утвержденного нормативного правового акта субъекта Российской Федерации,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 содержащего положения предусмотренные пунктом 16 настоящих Правил (далее – правовой акт субъекта Российской Федерации).</w:t>
      </w:r>
    </w:p>
    <w:p w:rsidR="0081669C" w:rsidRPr="00311238" w:rsidRDefault="0081669C" w:rsidP="00676819">
      <w:pPr>
        <w:pStyle w:val="ListParagraph"/>
        <w:tabs>
          <w:tab w:val="left" w:pos="993"/>
        </w:tabs>
        <w:spacing w:after="0" w:line="360" w:lineRule="auto"/>
        <w:ind w:left="0" w:firstLine="709"/>
        <w:jc w:val="both"/>
        <w:rPr>
          <w:rFonts w:ascii="Times New Roman" w:hAnsi="Times New Roman"/>
        </w:rPr>
      </w:pPr>
      <w:r w:rsidRPr="00311238">
        <w:rPr>
          <w:rFonts w:ascii="Times New Roman" w:hAnsi="Times New Roman"/>
        </w:rPr>
        <w:t>5. Предоставление иных межбюджетных трансфертов осуществляется</w:t>
      </w:r>
      <w:r w:rsidRPr="00311238">
        <w:rPr>
          <w:rFonts w:ascii="Times New Roman" w:hAnsi="Times New Roman"/>
        </w:rPr>
        <w:br/>
        <w:t>на основании соглашений, заключенных в соответствии с типовой формой соглашения, утверждаемой Министерством финансов Российской Федерации, и содержащего в том числе следующие положения: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а) срок действия соглашения – на период до 2024 года;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б) размер иного межбюджетного трансферта, порядок, условия и сроки его перечисления, а также объемы бюджетных ассигнований бюджета субъекта Российской Федерации, подлежащих направлению на исполнение соответствующих расходных обязательств субъекта Российской Федерации в период действия соглашения с разбивкой по годам;</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bookmarkStart w:id="5" w:name="P66"/>
      <w:bookmarkEnd w:id="5"/>
      <w:r w:rsidRPr="00311238">
        <w:rPr>
          <w:rFonts w:ascii="Times New Roman" w:hAnsi="Times New Roman" w:cs="Times New Roman"/>
          <w:color w:val="auto"/>
        </w:rPr>
        <w:t>в) значения показателя результативности использования субъектом Российской Федерации иного межбюджетного трансферта с разбивкой по годам на период действия соглашения;</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г) наличие в бюджете субъекта Российской Федерации, бюджетных ассигнований на исполнение расходного обязательства субъекта Российской Федерации, на софинансирование которого предоставляется иной межбюджетный трансферт;</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rPr>
          <w:rFonts w:ascii="Times New Roman" w:hAnsi="Times New Roman" w:cs="Times New Roman"/>
          <w:color w:val="auto"/>
        </w:rPr>
      </w:pPr>
      <w:bookmarkStart w:id="6" w:name="P70"/>
      <w:bookmarkEnd w:id="6"/>
      <w:r w:rsidRPr="00311238">
        <w:rPr>
          <w:rFonts w:ascii="Times New Roman" w:hAnsi="Times New Roman" w:cs="Times New Roman"/>
          <w:color w:val="auto"/>
        </w:rPr>
        <w:t>д) обязательства субъекта Российской Федерации: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bookmarkStart w:id="7" w:name="P72"/>
      <w:bookmarkEnd w:id="7"/>
      <w:r w:rsidRPr="00311238">
        <w:rPr>
          <w:rFonts w:ascii="Times New Roman" w:hAnsi="Times New Roman" w:cs="Times New Roman"/>
          <w:color w:val="auto"/>
        </w:rPr>
        <w:t>разработать и утвердить правовой акт субъекта Российской Федерации, не позднее 1 февраля 2019 года, а также обязательство по предоставлению копии указанного акта в Министерство промышленности и торговли Российской Федерации в течение 10 рабочих дней со дня его утверждения для размещения в государственной информационной системе промышленности;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обеспечить заключение не позднее 1 июля 2019 г. и далее в случаях, предусмотренных пунктом 7 настоящих Правил, до 2022 года не позднее 1 апреля очередного финансового года, с производителями продукции, включенными в Единый перечень, соглашений о предоставлении субсидий из бюджета субъекта Российской Федерации по типовой форме, установленной Министерством финансов Российской Федерации</w:t>
      </w:r>
      <w:bookmarkStart w:id="8" w:name="P58"/>
      <w:bookmarkEnd w:id="8"/>
      <w:r w:rsidRPr="00311238">
        <w:rPr>
          <w:rFonts w:ascii="Times New Roman" w:hAnsi="Times New Roman" w:cs="Times New Roman"/>
          <w:color w:val="auto"/>
        </w:rPr>
        <w:t>;</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обеспечить поэтапное достижение значений показателя результативности использования иного межбюджетного трансферта, установленных соглашением о предоставлении иного межбюджетного трансферта;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обеспечить в случае нарушения условий соглашения о предоставлении иного межбюджетного трансферта возврат средств в федеральный бюджет;</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е) указание уполномоченного органа исполнительной власти субъекта Российской Федерации, на который возлагаются функции по исполнению соглашения о предоставлении иного межбюджетного трансферта со стороны субъекта Российской Федерации, предоставлению отчетности в Министерство промышленности и торговли Российской Федерации, в соответствии с подпунктом «ж» настоящего пункта, заключению соглашений о предоставлении субсидий и контроля за их реализацией, а также иные функции по реализации настоящих Правил (далее – уполномоченный орган);</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ж) сроки и порядок представления в государственной интегрированной информационной системе управления общественными финансами «Электронный бюджет» отчетности о достижении значений показателя результативности использования иного межбюджетного трансферта, установленных соглашением о предоставлении иного межбюджетного трансферта;</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з) порядок внесения в соглашение о предоставлении иного межбюджетного трансферта изменений в случае существенного сокращения бюджетных ассигнований (больше 20 процентов),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промышленности и торговли Российской Федерации как получателя средств федерального бюджета на цели, указанные в пункте 2 настоящих Правил;</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и) условие о вступлении в силу соглашения о предоставлении иного межбюджетного трансферта;</w:t>
      </w:r>
    </w:p>
    <w:p w:rsidR="0081669C" w:rsidRPr="00311238" w:rsidRDefault="0081669C" w:rsidP="00676819">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к) право Министерства промышленности и торговли Российской Федерации и уполномоченных органов государственного финансового контроля на проведение проверок соблюдения субъектом Российской Федерации целей и условий предоставления иного межбюджетного трансферта, установленных настоящими Правилами и соглашением.</w:t>
      </w:r>
    </w:p>
    <w:p w:rsidR="0081669C" w:rsidRPr="00311238" w:rsidRDefault="0081669C" w:rsidP="00A82C09">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6. Соглашения (дополнительные соглашения) о предоставлении иных межбюджетных трансфертов заключаются в форме электронного документа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Российской Федерации подписываются высшим должностным лицом (руководителем высшего исполнительного органа государственной власти) субъекта Российской Федерации и Министерством промышленности и торговли Российской Федерации.</w:t>
      </w:r>
    </w:p>
    <w:p w:rsidR="0081669C" w:rsidRPr="00311238" w:rsidRDefault="0081669C" w:rsidP="004F1D30">
      <w:pPr>
        <w:pBdr>
          <w:top w:val="none" w:sz="0" w:space="0" w:color="auto"/>
          <w:left w:val="none" w:sz="0" w:space="0" w:color="auto"/>
          <w:bottom w:val="none" w:sz="0" w:space="0" w:color="auto"/>
          <w:right w:val="none" w:sz="0" w:space="0" w:color="auto"/>
          <w:bar w:val="none" w:sz="0" w:color="auto"/>
        </w:pBdr>
        <w:spacing w:line="360" w:lineRule="auto"/>
        <w:ind w:firstLine="709"/>
        <w:jc w:val="both"/>
        <w:rPr>
          <w:color w:val="auto"/>
          <w:sz w:val="22"/>
          <w:szCs w:val="22"/>
          <w:lang w:val="ru-RU"/>
        </w:rPr>
      </w:pPr>
      <w:r w:rsidRPr="00311238">
        <w:rPr>
          <w:color w:val="auto"/>
          <w:sz w:val="22"/>
          <w:szCs w:val="22"/>
          <w:lang w:val="ru-RU"/>
        </w:rPr>
        <w:t>7. Уполномоченный орган принимает решение о проведении отбора производителей продукции не позднее 14 января 2019 года и далее не позднее 1 июля очередного финансового года, размещает на официальном сайте уполномоченного органа в информационно-телекоммуникационной сети «Интернет» извещение о проведении отбора и документацию отбора, установленной правовым актом субъекта Российской Федерации.</w:t>
      </w:r>
    </w:p>
    <w:p w:rsidR="0081669C" w:rsidRPr="00311238" w:rsidRDefault="0081669C" w:rsidP="00335A9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 xml:space="preserve">8. Организация, подающая заявку на участие в отборе, должна по состоянию на дату не ранее чем за 30 календарных дней до даты подачи указанной заявки соответствовать критериям, предусмотренным пунктом 8 Правилам предоставления субсидий из федерального бюджета российским организациям федерального значения на финансовое обеспечение части затрат связанных с реализацией корпоративных программ международной конкурентоспособности, утвержденных постановлением Правительства Российской Федерации от  №  (далее – Правила предоставления субсидий из федерального бюджета российским организациям федерального значения, субсидии из бюджета субъекта Российской Федерации), а также не должна была находится в течение 3 последних лет в процессе ликвидации, банкротства (для юридического лица), не прекращал в течение 3 последних лет деятельность в качестве индивидуального предпринимателя (для индивидуального предпринимателя). </w:t>
      </w:r>
    </w:p>
    <w:p w:rsidR="0081669C" w:rsidRPr="00311238" w:rsidRDefault="0081669C" w:rsidP="00335A9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9. Производители продукции, не позднее 30 января 2019 года и далее не позднее 20 июня очередного финансового года, представляют уполномоченному органу, на территории которого они осуществляют или планируют осуществлять производство конкурентоспособной продукции, заявку с приложением документов, предусмотренных</w:t>
      </w:r>
      <w:r w:rsidRPr="00311238">
        <w:rPr>
          <w:sz w:val="22"/>
          <w:szCs w:val="22"/>
          <w:lang w:val="ru-RU"/>
        </w:rPr>
        <w:t xml:space="preserve"> </w:t>
      </w:r>
      <w:r w:rsidRPr="00311238">
        <w:rPr>
          <w:color w:val="auto"/>
          <w:sz w:val="22"/>
          <w:szCs w:val="22"/>
          <w:lang w:val="ru-RU"/>
        </w:rPr>
        <w:t>пунктом 9 Правил предоставления субсидий из федерального бюджета российским организациям федерального значения.</w:t>
      </w:r>
    </w:p>
    <w:p w:rsidR="0081669C" w:rsidRPr="00311238" w:rsidRDefault="0081669C" w:rsidP="00335A9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Отбор проводится в порядке, предусмотренном правовым актом субъекта Российской Федерации.</w:t>
      </w:r>
    </w:p>
    <w:p w:rsidR="0081669C" w:rsidRPr="00311238" w:rsidRDefault="0081669C" w:rsidP="00335A9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10. Высшее должностное лицо (руководитель высшего исполнительного органа государственной власти) субъекта Российской Федерации на основании предложений уполномоченного органа принимает решение о включении (отказе во включении) производителя продукции в перечень российских организаций, производителей российской промышленной продукции, прошедших отбор, сформированный по форме, предусмотренной Правилами формирования Единого перечня российских организаций, реализующих корпоративные программы международной конкурентоспособности, утвержденными постановлением Правительства Российской Федерации от № (далее – Правила формирования Единого перечня) (за исключением столбца 24 – 26) (далее – перечень организаций, прошедших отбор).</w:t>
      </w:r>
    </w:p>
    <w:p w:rsidR="0081669C" w:rsidRPr="00311238" w:rsidRDefault="0081669C" w:rsidP="001E38B1">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В перечень организаций, прошедших отбор, включаются производители продукции, корпоративные программы международной конкурентоспособности которых могут быть софинансированы из бюджета субъекта Российской Федерации, а также производители продукции, корпоративные программы международной конкурентоспособности которых по решению высшего должностного лица (руководителя высшего исполнительного органа государственной власти) субъекта Российской Федерации не могут быть софинансированы из бюджета субъекта Российской Федерации. Производителями продукции, корпоративные программы международной конкурентоспособности которых по решению высшего должностного лица (руководителя высшего исполнительного органа государственной власти) субъекта Российской Федерации не могут быть софинансированы из бюджета субъекта Российской Федерации по результатам ранжирования Межведомственной комиссией, в соответствии с Правилами формирования Единого перечня может быть получена субсидия, в соответствии с Правилами предоставления субсидий из федерального бюджета российским организациям федерального значения, субсидии из бюджета субъекта Российской Федерации.</w:t>
      </w:r>
    </w:p>
    <w:p w:rsidR="0081669C" w:rsidRPr="00311238" w:rsidRDefault="0081669C" w:rsidP="00692E19">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Перечень организаций, прошедших отбор размещается на официальном сайте уполномоченного органа в информационно-телекоммуникационной сети «Интернет»</w:t>
      </w:r>
    </w:p>
    <w:p w:rsidR="0081669C" w:rsidRPr="00311238" w:rsidRDefault="0081669C" w:rsidP="003F6DF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11. Высшее должностное лицо (руководитель высшего исполнительного органа государственной власти) субъекта Российской Федерации отказывает производителю продукции во включении в перечень организаций, прошедших отбор, по основаниям, предусмотренным пунктом 13 Правил предоставления субсидий из федерального бюджета российским организациям федерального значения.</w:t>
      </w:r>
    </w:p>
    <w:p w:rsidR="0081669C" w:rsidRPr="00311238" w:rsidRDefault="0081669C" w:rsidP="003F6DF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Высшее должностное лица (руководителя высшего исполнительного органа государственной власти) субъекта Российской Федерации, либо уполномоченный орган государственной власти субъекта Российской Федерации обязан направить производителю продукции письмо о непрохождении отбора в соответствии с</w:t>
      </w:r>
      <w:r w:rsidRPr="00311238">
        <w:rPr>
          <w:sz w:val="22"/>
          <w:szCs w:val="22"/>
          <w:lang w:val="ru-RU"/>
        </w:rPr>
        <w:t xml:space="preserve"> </w:t>
      </w:r>
      <w:r w:rsidRPr="00311238">
        <w:rPr>
          <w:color w:val="auto"/>
          <w:sz w:val="22"/>
          <w:szCs w:val="22"/>
          <w:lang w:val="ru-RU"/>
        </w:rPr>
        <w:t>правовым актом субъекта Российской Федерации и настоящими Правилами, в течение 3 рабочих дней со дня принятия такого решения.</w:t>
      </w:r>
    </w:p>
    <w:p w:rsidR="0081669C" w:rsidRPr="00311238" w:rsidRDefault="0081669C" w:rsidP="003F6DF4">
      <w:pPr>
        <w:widowControl w:val="0"/>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Решения Высшего должностного лица (руководителя высшего исполнительного органа государственной власти) субъекта Российской Федерации могут быть обжалованы в судебном порядке, в соответствии с законодательством Российской Федерации.</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12. Перечень организаций, прошедших отбор представляется высшим должностным лицом (руководителем высшего исполнительного органа государственной власти) субъекта Российской Федерации в Межведомственную комиссию по вопросам поддержки российских организаций, реализующих корпоративные программы международной конкурентоспособности (далее – Межведомственная комиссия) в срок до 14 февраля 2019 года и далее не позднее 10 рабочих дней со дня принятия решения, указанного в пункте 10 настоящих Правил.</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13. Министерство промышленности и торговли Российской Федерации не позднее 30 рабочих дней со дня размещения Единого перечня в государственной информационной системе промышленности, а в случае внесения изменений в паспорт Национального проекта в соответствии с пунктом 12 Правил формирования Единого перечня, не позднее 30 рабочих дней со дня внесения таких изменений заключает с высшими должностными лицами (руководителями высших исполнительных органов государственной власти) субъектов Российской Федерации соглашения (дополнительные соглашения) о предоставлении иных межбюджетных трансфертов.</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14.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иного межбюджетного трансферта, утверждается законом субъекта Российской Федерации о бюджете субъекта Российской Федерации исходя из необходимости достижения значений показателей результативности использования межбюджетного трансферта, установленных соглашением о предоставлении иного межбюджетного трансферта.</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Увеличение размера средств бюджетов субъектов Российской Федерации и местных бюджетов, направляемых на предоставление субсидий из бюджетов субъектов Российской Федерации на соответствующий финансовый год, не влечет обязательств Российской Федерации по увеличению размера, предоставляемого иного межбюджетного трансферта.</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15. Перечисление иного межбюджетного трансферта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16. Правовой акт субъекта Российской Федерации, должен быть аналогичен Правилам предоставления субсидий из федерального бюджета российским организациям федерального значения и предусматривать в том числе:</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 xml:space="preserve">а) цель предоставления субсидий в соответствии с пунктом 1 настоящих Правил. Ограничение направлений использования производителями продукции средств субсидий не допускается; </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б) указание на уполномоченный орган;</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в)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цели предоставления субсидии, указанной в подпункте «а» настоящего пункта;</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г) требования к производителям продукции;</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д) показатель результативности использования субсидии, соответствующий показателю, установленному Правилами формирования Единого перечня;</w:t>
      </w:r>
    </w:p>
    <w:p w:rsidR="0081669C" w:rsidRPr="00311238" w:rsidRDefault="0081669C" w:rsidP="00AA1580">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е) порядок заключения соглашений о предоставлении субсидий из бюджета субъекта Российской Федерации, включающий исчерпывающий перечень документов, представляемых производителями продукции для заключения таких соглашений.</w:t>
      </w:r>
      <w:r w:rsidRPr="00311238">
        <w:rPr>
          <w:sz w:val="22"/>
          <w:szCs w:val="22"/>
          <w:lang w:val="ru-RU"/>
        </w:rPr>
        <w:t xml:space="preserve"> </w:t>
      </w:r>
      <w:r w:rsidRPr="00311238">
        <w:rPr>
          <w:color w:val="auto"/>
          <w:sz w:val="22"/>
          <w:szCs w:val="22"/>
          <w:lang w:val="ru-RU"/>
        </w:rPr>
        <w:t>Условие о том, что в случае отказа производителя продукции заключить соглашение о предоставлении субсидии, соглашение о предоставлении субсидии заключается с производителем продукции, порядковый ранг которого следует за порядковым рангом производителя, отказавшегося от заключения соглашения о предоставлении субсидии. Обязательство высшего должностного лица (руководителя высшего исполнительного органа государственной власти) субъекта Российской Федерации, либо уполномоченного органа государственной власти субъекта Российской Федерации направить производителю продукции письмо об отказе в заключении соглашения о предоставлении субсидии, в течение 3 рабочих дней со дня принятия такого решения;</w:t>
      </w:r>
    </w:p>
    <w:p w:rsidR="0081669C" w:rsidRPr="00311238" w:rsidRDefault="0081669C" w:rsidP="0045347D">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ж) требования к составу и содержанию соглашений о предоставлении субсидий из бюджета Российской Федерации, включающие положения пункта 16 Правил предоставления субсидий из федерального бюджета российским организациям федерального значения;</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з) порядок внесения в соглашение о предоставлении субсидий изменений в случае сокращения бюджетных ассигнований, предусмотренных законом субъекта Российской Федерации о бюджете субъекта Российской Федерации на соответствующий финансовый год и плановый период, и лимитов бюджетных обязательств, доведенных до уполномоченного органа на цель, предусмотренную пунктом 2 настоящих Правил;</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и) порядок осуществления уполномоченным органом контроля за исполнением производителями продукции обязательств, предусмотренных соглашениями о предоставлении субсидии</w:t>
      </w:r>
      <w:r w:rsidRPr="00311238">
        <w:rPr>
          <w:sz w:val="22"/>
          <w:szCs w:val="22"/>
          <w:lang w:val="ru-RU"/>
        </w:rPr>
        <w:t xml:space="preserve"> </w:t>
      </w:r>
      <w:r w:rsidRPr="00311238">
        <w:rPr>
          <w:color w:val="auto"/>
          <w:sz w:val="22"/>
          <w:szCs w:val="22"/>
          <w:lang w:val="ru-RU"/>
        </w:rPr>
        <w:t>из бюджета субъекта Российской Федерации;</w:t>
      </w:r>
    </w:p>
    <w:p w:rsidR="0081669C" w:rsidRPr="00311238" w:rsidRDefault="0081669C" w:rsidP="00713B73">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к) порядок предоставления производителями отчетности об исполнении обязательств, предусмотренных соглашениями о предоставлении субсидии</w:t>
      </w:r>
      <w:r w:rsidRPr="00311238">
        <w:rPr>
          <w:sz w:val="22"/>
          <w:szCs w:val="22"/>
          <w:lang w:val="ru-RU"/>
        </w:rPr>
        <w:t xml:space="preserve"> </w:t>
      </w:r>
      <w:r w:rsidRPr="00311238">
        <w:rPr>
          <w:color w:val="auto"/>
          <w:sz w:val="22"/>
          <w:szCs w:val="22"/>
          <w:lang w:val="ru-RU"/>
        </w:rPr>
        <w:t>из бюджета субъекта Российской Федерации</w:t>
      </w:r>
    </w:p>
    <w:p w:rsidR="0081669C" w:rsidRPr="00311238" w:rsidRDefault="0081669C" w:rsidP="00713B73">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л) случаи отказа и приостановления предоставления субсидии, порядок расчета размера штрафных санкций, порядок и случаи возврата средств субсидии, аналогичный положениям Правил предоставления субсидий из федерального бюджета российским организациям федерального значения.</w:t>
      </w:r>
    </w:p>
    <w:p w:rsidR="0081669C" w:rsidRPr="00311238" w:rsidRDefault="0081669C" w:rsidP="004D285A">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 xml:space="preserve">Перечисление субсидии производителю продукции осуществляется территориальным органом Федерального казначейства в пределах сумм, необходимых для оплаты денежных обязательств по расходам организации, источником финансирования которых является субсидия. </w:t>
      </w:r>
    </w:p>
    <w:p w:rsidR="0081669C" w:rsidRPr="00311238" w:rsidRDefault="0081669C" w:rsidP="004D285A">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r w:rsidRPr="00311238">
        <w:rPr>
          <w:rFonts w:ascii="Times New Roman" w:hAnsi="Times New Roman" w:cs="Times New Roman"/>
          <w:color w:val="auto"/>
        </w:rPr>
        <w:t>Перечисление средств субсидии осуществляется на лицевой счет производителю продукции, открытый в территориальном органе Федерального казначейства для учета средств организаций, не являющихся участниками бюджетного процесса, не позднее второго рабочего дня, следующего за днем представления организацией в территориальный орган Федерального казначейства платежных документов на оплату денежных обязательств, после их проверки в соответствии с порядком санкционирования целевых средств.</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17. Уполномоченный орган, органы государственного финансового контроля осуществляют проверку целей и условий использования субсидий, отчетов, представленных производителями продукции уполномоченному органу, в соответствии с пунктом 16 настоящих Правил, в том числе путем проведения выездных проверок.</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18. В случае установления по итогам проверок, проведенных уполномоченным органов и (или) органами государственного финансового контроля фактов нарушения целей и условий использования субсидий, средства субсидий в объеме выявленных нарушений подлежат возврату в доход бюджета субъекта Российской Федерации в порядке, установленном бюджетным законодательством и нормативными правовыми актами, регулирующими бюджетные правоотношения:</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а) на основании требования уполномоченного органа не позднее 10-го рабочего дня со дня получения указанного требования организацией;</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б) на основании представления и (или) предписания уполномоченных органов государственного финансового контроля в сроки, установленные в соответствии с бюджетным законодательством Российской Федерации.</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19. Показателем результативности использования иного межбюджетного трансферта является ДSt – прирост общего объема выручки от реализации конкурентоспособной продукции производителей продукции, включенных в Единый перечень и осуществляющих деятельность на территории субъекта Российской Федерации, в отчетном году t по сравнению с предшествующим годом:</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 xml:space="preserve">Дst = St – St-1 ,  </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где:</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 xml:space="preserve">St – показатель выручки от реализации конкурентоспособной продукции, в отчетном году t,  </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St-1 – показатель выручки от реализации конкурентоспособной продукции в предшествующем году.</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20. В случае если субъектом Российской Федерации по состоянию на 31 декабря года предоставления иного межбюджетного трансферта допущено нарушение обязательств по достижению значений показателя результативности использования иного межбюджетного трансферта, установленных соглашением о предоставлении иного межбюджетного трансферта, и до 1 сентября года, следующего за годом предоставления иного межбюджетного трансферта, указанные нарушения не устранены, объем средств, подлежащих возврату таким субъектом Российской Федерации в федеральный бюджет, рассчитывается по формуле:</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Vвозврата = Vтрансферта х k,</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где:</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Vтрансферта – размер иного межбюджетного трансферта, предоставленного в отчетном финансовом году;</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k - коэффициент возврата иного межбюджетного трансферта.</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21. Коэффициент возврата иного межбюджетного трансферта определяется по формуле:</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K = 1-T/S ,</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где:</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T – фактически достигнутое значение показателя результативности использования иного межбюджетного трансферта на отчетную дату;</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S – значение показателя результативности использования иного межбюджетного трансферта, установленное соглашением о предоставлении иного межбюджетного трансферта.</w:t>
      </w:r>
    </w:p>
    <w:p w:rsidR="0081669C" w:rsidRPr="00311238" w:rsidRDefault="0081669C" w:rsidP="000327D6">
      <w:pPr>
        <w:pBdr>
          <w:top w:val="none" w:sz="0" w:space="0" w:color="auto"/>
          <w:left w:val="none" w:sz="0" w:space="0" w:color="auto"/>
          <w:bottom w:val="none" w:sz="0" w:space="0" w:color="auto"/>
          <w:right w:val="none" w:sz="0" w:space="0" w:color="auto"/>
          <w:bar w:val="none" w:sz="0" w:color="auto"/>
        </w:pBdr>
        <w:spacing w:line="360" w:lineRule="auto"/>
        <w:ind w:firstLine="709"/>
        <w:contextualSpacing/>
        <w:jc w:val="both"/>
        <w:rPr>
          <w:color w:val="auto"/>
          <w:sz w:val="22"/>
          <w:szCs w:val="22"/>
          <w:lang w:val="ru-RU"/>
        </w:rPr>
      </w:pPr>
      <w:r w:rsidRPr="00311238">
        <w:rPr>
          <w:color w:val="auto"/>
          <w:sz w:val="22"/>
          <w:szCs w:val="22"/>
          <w:lang w:val="ru-RU"/>
        </w:rPr>
        <w:t>22. На период до устранения нарушений обязательств, предусмотренный пунктом 20 настоящих Правил, предоставление иного межбюджетного трансферта бюджету субъекта Российской Федерации приостанавливается. В случае устранения таких нарушений в установленные сроки предоставление иного межбюджетного трансферта возобновляется в порядке, установленном настоящими Правилами.</w:t>
      </w:r>
    </w:p>
    <w:p w:rsidR="0081669C" w:rsidRPr="00311238"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rPr>
      </w:pPr>
    </w:p>
    <w:p w:rsidR="0081669C" w:rsidRPr="002426B7" w:rsidRDefault="0081669C" w:rsidP="004D285A">
      <w:pPr>
        <w:pStyle w:val="ConsPlusNormal"/>
        <w:pBdr>
          <w:top w:val="none" w:sz="0" w:space="0" w:color="auto"/>
          <w:left w:val="none" w:sz="0" w:space="0" w:color="auto"/>
          <w:bottom w:val="none" w:sz="0" w:space="0" w:color="auto"/>
          <w:right w:val="none" w:sz="0" w:space="0" w:color="auto"/>
          <w:bar w:val="none" w:sz="0" w:color="auto"/>
        </w:pBdr>
        <w:spacing w:after="0" w:line="360" w:lineRule="auto"/>
        <w:contextualSpacing/>
        <w:jc w:val="both"/>
        <w:rPr>
          <w:rFonts w:ascii="Times New Roman" w:hAnsi="Times New Roman" w:cs="Times New Roman"/>
          <w:color w:val="auto"/>
          <w:sz w:val="28"/>
          <w:szCs w:val="28"/>
        </w:rPr>
      </w:pPr>
    </w:p>
    <w:p w:rsidR="0081669C" w:rsidRDefault="0081669C" w:rsidP="0024052B">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709"/>
        <w:contextualSpacing/>
        <w:jc w:val="both"/>
        <w:rPr>
          <w:rFonts w:ascii="Times New Roman" w:hAnsi="Times New Roman" w:cs="Times New Roman"/>
          <w:color w:val="auto"/>
          <w:sz w:val="28"/>
          <w:szCs w:val="28"/>
        </w:rPr>
        <w:sectPr w:rsidR="0081669C">
          <w:pgSz w:w="11900" w:h="16840"/>
          <w:pgMar w:top="1134" w:right="567" w:bottom="1134" w:left="1134" w:header="709" w:footer="709" w:gutter="0"/>
          <w:pgNumType w:start="1"/>
          <w:cols w:space="720"/>
          <w:titlePg/>
          <w:rtlGutter/>
          <w:docGrid w:linePitch="326"/>
        </w:sectPr>
      </w:pPr>
      <w:r w:rsidRPr="002426B7">
        <w:rPr>
          <w:rFonts w:ascii="Times New Roman" w:hAnsi="Times New Roman" w:cs="Times New Roman"/>
          <w:color w:val="auto"/>
          <w:sz w:val="28"/>
          <w:szCs w:val="28"/>
        </w:rPr>
        <w:t>.</w:t>
      </w:r>
    </w:p>
    <w:p w:rsidR="0081669C" w:rsidRPr="002426B7"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outlineLvl w:val="0"/>
        <w:rPr>
          <w:rFonts w:ascii="Times New Roman" w:hAnsi="Times New Roman" w:cs="Times New Roman"/>
          <w:color w:val="auto"/>
          <w:sz w:val="28"/>
          <w:szCs w:val="28"/>
        </w:rPr>
      </w:pPr>
      <w:bookmarkStart w:id="9" w:name="_Toc214044892"/>
      <w:r w:rsidRPr="002426B7">
        <w:rPr>
          <w:rFonts w:ascii="Times New Roman" w:hAnsi="Times New Roman"/>
          <w:color w:val="auto"/>
          <w:sz w:val="28"/>
          <w:szCs w:val="28"/>
        </w:rPr>
        <w:t>Утверждена</w:t>
      </w:r>
    </w:p>
    <w:p w:rsidR="0081669C" w:rsidRPr="002426B7"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rPr>
          <w:rFonts w:ascii="Times New Roman" w:hAnsi="Times New Roman" w:cs="Times New Roman"/>
          <w:color w:val="auto"/>
          <w:sz w:val="28"/>
          <w:szCs w:val="28"/>
        </w:rPr>
      </w:pPr>
      <w:r w:rsidRPr="002426B7">
        <w:rPr>
          <w:rFonts w:ascii="Times New Roman" w:hAnsi="Times New Roman"/>
          <w:color w:val="auto"/>
          <w:sz w:val="28"/>
          <w:szCs w:val="28"/>
        </w:rPr>
        <w:t>постановлением Правительства</w:t>
      </w:r>
    </w:p>
    <w:p w:rsidR="0081669C" w:rsidRPr="002426B7"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rPr>
          <w:rFonts w:ascii="Times New Roman" w:hAnsi="Times New Roman" w:cs="Times New Roman"/>
          <w:color w:val="auto"/>
          <w:sz w:val="28"/>
          <w:szCs w:val="28"/>
        </w:rPr>
      </w:pPr>
      <w:r w:rsidRPr="002426B7">
        <w:rPr>
          <w:rFonts w:ascii="Times New Roman" w:hAnsi="Times New Roman"/>
          <w:color w:val="auto"/>
          <w:sz w:val="28"/>
          <w:szCs w:val="28"/>
        </w:rPr>
        <w:t>Российской Федерации</w:t>
      </w:r>
    </w:p>
    <w:p w:rsidR="0081669C" w:rsidRPr="002426B7"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rPr>
          <w:rFonts w:ascii="Times New Roman" w:hAnsi="Times New Roman" w:cs="Times New Roman"/>
          <w:color w:val="auto"/>
          <w:sz w:val="28"/>
          <w:szCs w:val="28"/>
        </w:rPr>
      </w:pPr>
      <w:r w:rsidRPr="002426B7">
        <w:rPr>
          <w:rFonts w:ascii="Times New Roman" w:hAnsi="Times New Roman"/>
          <w:color w:val="auto"/>
          <w:sz w:val="28"/>
          <w:szCs w:val="28"/>
        </w:rPr>
        <w:t>от _____ г. № _____________</w:t>
      </w:r>
    </w:p>
    <w:p w:rsidR="0081669C" w:rsidRPr="002426B7"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360" w:lineRule="auto"/>
        <w:ind w:firstLine="539"/>
        <w:jc w:val="center"/>
        <w:rPr>
          <w:rFonts w:ascii="Times New Roman" w:hAnsi="Times New Roman" w:cs="Times New Roman"/>
          <w:color w:val="auto"/>
          <w:sz w:val="28"/>
          <w:szCs w:val="28"/>
        </w:rPr>
      </w:pPr>
    </w:p>
    <w:p w:rsidR="0081669C" w:rsidRPr="002426B7" w:rsidRDefault="0081669C" w:rsidP="00676819">
      <w:pPr>
        <w:pStyle w:val="ConsPlusNormal"/>
        <w:pBdr>
          <w:top w:val="none" w:sz="0" w:space="0" w:color="auto"/>
          <w:left w:val="none" w:sz="0" w:space="0" w:color="auto"/>
          <w:bottom w:val="none" w:sz="0" w:space="0" w:color="auto"/>
          <w:right w:val="none" w:sz="0" w:space="0" w:color="auto"/>
          <w:bar w:val="none" w:sz="0" w:color="auto"/>
        </w:pBdr>
        <w:spacing w:after="0" w:line="240" w:lineRule="auto"/>
        <w:jc w:val="center"/>
        <w:rPr>
          <w:rFonts w:ascii="Times New Roman" w:hAnsi="Times New Roman" w:cs="Times New Roman"/>
          <w:b/>
          <w:color w:val="auto"/>
          <w:sz w:val="28"/>
          <w:szCs w:val="28"/>
        </w:rPr>
      </w:pPr>
      <w:r w:rsidRPr="002426B7">
        <w:rPr>
          <w:rFonts w:ascii="Times New Roman" w:hAnsi="Times New Roman" w:cs="Times New Roman"/>
          <w:b/>
          <w:color w:val="auto"/>
          <w:sz w:val="28"/>
          <w:szCs w:val="28"/>
        </w:rPr>
        <w:t xml:space="preserve">Типовая форма </w:t>
      </w:r>
      <w:r w:rsidRPr="002426B7">
        <w:rPr>
          <w:rFonts w:ascii="Times New Roman" w:hAnsi="Times New Roman" w:cs="Times New Roman"/>
          <w:b/>
          <w:color w:val="auto"/>
          <w:sz w:val="28"/>
          <w:szCs w:val="28"/>
        </w:rPr>
        <w:br/>
        <w:t xml:space="preserve">корпоративной программы </w:t>
      </w:r>
      <w:r>
        <w:rPr>
          <w:rFonts w:ascii="Times New Roman" w:hAnsi="Times New Roman" w:cs="Times New Roman"/>
          <w:b/>
          <w:color w:val="auto"/>
          <w:sz w:val="28"/>
          <w:szCs w:val="28"/>
        </w:rPr>
        <w:t xml:space="preserve">международной конкурентоспособности </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color w:val="auto"/>
          <w:lang w:val="ru-RU"/>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7242"/>
      </w:tblGrid>
      <w:tr w:rsidR="0081669C" w:rsidRPr="002426B7" w:rsidTr="00EC0B60">
        <w:trPr>
          <w:trHeight w:val="582"/>
        </w:trPr>
        <w:tc>
          <w:tcPr>
            <w:tcW w:w="9931" w:type="dxa"/>
            <w:gridSpan w:val="2"/>
            <w:tcBorders>
              <w:top w:val="single" w:sz="8" w:space="0" w:color="5B9BD5"/>
              <w:left w:val="single" w:sz="8" w:space="0" w:color="5B9BD5"/>
              <w:bottom w:val="single" w:sz="8" w:space="0" w:color="5B9BD5"/>
              <w:right w:val="single" w:sz="8" w:space="0" w:color="5B9BD5"/>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60" w:after="60" w:line="360" w:lineRule="auto"/>
              <w:jc w:val="center"/>
              <w:rPr>
                <w:color w:val="auto"/>
                <w:sz w:val="22"/>
                <w:szCs w:val="22"/>
                <w:lang w:val="ru-RU"/>
              </w:rPr>
            </w:pPr>
            <w:r w:rsidRPr="00EC0B60">
              <w:rPr>
                <w:color w:val="auto"/>
                <w:sz w:val="40"/>
                <w:szCs w:val="22"/>
                <w:lang w:val="ru-RU"/>
              </w:rPr>
              <w:t>КОРПОРАТИВНАЯ ПРОГРАММА МЕЖДУНАРОДНОЙ КОНКУРЕНТОСПОСОБНОСТИ</w:t>
            </w:r>
          </w:p>
        </w:tc>
      </w:tr>
      <w:tr w:rsidR="0081669C" w:rsidRPr="0090620B" w:rsidTr="00EC0B60">
        <w:trPr>
          <w:trHeight w:val="582"/>
        </w:trPr>
        <w:tc>
          <w:tcPr>
            <w:tcW w:w="2689" w:type="dxa"/>
            <w:tcBorders>
              <w:left w:val="single" w:sz="8" w:space="0" w:color="5B9BD5"/>
              <w:right w:val="single" w:sz="8" w:space="0" w:color="5B9BD5"/>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60" w:after="60"/>
              <w:rPr>
                <w:b/>
                <w:color w:val="auto"/>
                <w:sz w:val="22"/>
                <w:szCs w:val="22"/>
                <w:lang w:val="ru-RU"/>
              </w:rPr>
            </w:pPr>
            <w:r w:rsidRPr="00EC0B60">
              <w:rPr>
                <w:b/>
                <w:color w:val="auto"/>
                <w:sz w:val="22"/>
                <w:szCs w:val="22"/>
                <w:lang w:val="ru-RU"/>
              </w:rPr>
              <w:t>Наименование организации</w:t>
            </w:r>
          </w:p>
        </w:tc>
        <w:tc>
          <w:tcPr>
            <w:tcW w:w="7242"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60" w:after="60"/>
              <w:rPr>
                <w:i/>
                <w:color w:val="auto"/>
                <w:sz w:val="22"/>
                <w:szCs w:val="22"/>
                <w:lang w:val="ru-RU"/>
              </w:rPr>
            </w:pPr>
            <w:r w:rsidRPr="00EC0B60">
              <w:rPr>
                <w:i/>
                <w:color w:val="auto"/>
                <w:sz w:val="22"/>
                <w:szCs w:val="22"/>
                <w:lang w:val="ru-RU"/>
              </w:rPr>
              <w:t>наименование, местонахождение, идентификационный номер налогоплательщика и (или) код причины постановки на учет организации, основной государственный регистрационный номер</w:t>
            </w:r>
          </w:p>
        </w:tc>
      </w:tr>
      <w:tr w:rsidR="0081669C" w:rsidRPr="0090620B" w:rsidTr="00EC0B60">
        <w:trPr>
          <w:trHeight w:val="582"/>
        </w:trPr>
        <w:tc>
          <w:tcPr>
            <w:tcW w:w="2689" w:type="dxa"/>
            <w:tcBorders>
              <w:top w:val="single" w:sz="8" w:space="0" w:color="5B9BD5"/>
              <w:left w:val="single" w:sz="8" w:space="0" w:color="5B9BD5"/>
              <w:bottom w:val="single" w:sz="8" w:space="0" w:color="5B9BD5"/>
              <w:right w:val="single" w:sz="8" w:space="0" w:color="5B9BD5"/>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after="60"/>
              <w:rPr>
                <w:b/>
                <w:color w:val="auto"/>
                <w:sz w:val="22"/>
                <w:szCs w:val="22"/>
                <w:lang w:val="ru-RU"/>
              </w:rPr>
            </w:pPr>
            <w:r w:rsidRPr="00EC0B60">
              <w:rPr>
                <w:b/>
                <w:color w:val="auto"/>
                <w:sz w:val="22"/>
                <w:szCs w:val="22"/>
                <w:lang w:val="ru-RU"/>
              </w:rPr>
              <w:t>Срок реализации КПМК</w:t>
            </w:r>
          </w:p>
        </w:tc>
        <w:tc>
          <w:tcPr>
            <w:tcW w:w="7242" w:type="dxa"/>
            <w:tcBorders>
              <w:top w:val="single" w:sz="8" w:space="0" w:color="5B9BD5"/>
              <w:bottom w:val="single" w:sz="8" w:space="0" w:color="5B9BD5"/>
              <w:right w:val="single" w:sz="8" w:space="0" w:color="5B9BD5"/>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60" w:after="60"/>
              <w:rPr>
                <w:i/>
                <w:color w:val="auto"/>
                <w:sz w:val="22"/>
                <w:szCs w:val="22"/>
                <w:lang w:val="ru-RU"/>
              </w:rPr>
            </w:pPr>
            <w:r w:rsidRPr="00EC0B60">
              <w:rPr>
                <w:i/>
                <w:color w:val="auto"/>
                <w:sz w:val="22"/>
                <w:szCs w:val="22"/>
                <w:lang w:val="ru-RU"/>
              </w:rPr>
              <w:t>Срок реализации КПМК</w:t>
            </w: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60" w:after="60"/>
              <w:rPr>
                <w:i/>
                <w:color w:val="auto"/>
                <w:sz w:val="22"/>
                <w:szCs w:val="22"/>
                <w:lang w:val="ru-RU"/>
              </w:rPr>
            </w:pPr>
            <w:r w:rsidRPr="00EC0B60">
              <w:rPr>
                <w:i/>
                <w:color w:val="auto"/>
                <w:sz w:val="22"/>
                <w:szCs w:val="22"/>
                <w:lang w:val="ru-RU"/>
              </w:rPr>
              <w:t>Форма автоматического заполнения: 2, 3, 4, 5 лет</w:t>
            </w:r>
          </w:p>
        </w:tc>
      </w:tr>
    </w:tbl>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color w:val="auto"/>
          <w:lang w:val="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9"/>
        <w:gridCol w:w="2268"/>
        <w:gridCol w:w="7200"/>
      </w:tblGrid>
      <w:tr w:rsidR="0081669C" w:rsidRPr="002426B7" w:rsidTr="008C440A">
        <w:trPr>
          <w:trHeight w:val="451"/>
        </w:trPr>
        <w:tc>
          <w:tcPr>
            <w:tcW w:w="9923" w:type="dxa"/>
            <w:gridSpan w:val="4"/>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jc w:val="center"/>
              <w:rPr>
                <w:b/>
                <w:color w:val="auto"/>
                <w:lang w:val="ru-RU"/>
              </w:rPr>
            </w:pP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jc w:val="center"/>
              <w:rPr>
                <w:b/>
                <w:color w:val="auto"/>
                <w:lang w:val="ru-RU"/>
              </w:rPr>
            </w:pPr>
            <w:r w:rsidRPr="002426B7">
              <w:rPr>
                <w:b/>
                <w:color w:val="auto"/>
                <w:lang w:val="ru-RU"/>
              </w:rPr>
              <w:t>ПАСПОРТ КОРПОРАТИВНОЙ ПРОГРАММЫ</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jc w:val="center"/>
              <w:rPr>
                <w:b/>
                <w:color w:val="auto"/>
                <w:lang w:val="ru-RU"/>
              </w:rPr>
            </w:pPr>
          </w:p>
        </w:tc>
      </w:tr>
      <w:tr w:rsidR="0081669C" w:rsidRPr="0090620B" w:rsidTr="00160174">
        <w:trPr>
          <w:trHeight w:val="518"/>
        </w:trPr>
        <w:tc>
          <w:tcPr>
            <w:tcW w:w="426" w:type="dxa"/>
          </w:tcPr>
          <w:p w:rsidR="0081669C" w:rsidRPr="00EC0B60" w:rsidRDefault="0081669C" w:rsidP="00676819">
            <w:pPr>
              <w:pStyle w:val="ListParagraph"/>
              <w:numPr>
                <w:ilvl w:val="0"/>
                <w:numId w:val="2"/>
              </w:numPr>
              <w:tabs>
                <w:tab w:val="right" w:leader="underscore" w:pos="5400"/>
                <w:tab w:val="left" w:pos="5580"/>
                <w:tab w:val="right" w:leader="underscore" w:pos="10800"/>
              </w:tabs>
              <w:spacing w:before="120" w:after="0" w:line="240" w:lineRule="auto"/>
              <w:ind w:left="176" w:hanging="142"/>
              <w:jc w:val="center"/>
              <w:rPr>
                <w:rFonts w:ascii="Times New Roman" w:hAnsi="Times New Roman"/>
                <w:b/>
                <w:sz w:val="24"/>
                <w:szCs w:val="24"/>
              </w:rPr>
            </w:pPr>
          </w:p>
        </w:tc>
        <w:tc>
          <w:tcPr>
            <w:tcW w:w="2297" w:type="dxa"/>
            <w:gridSpan w:val="2"/>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color w:val="auto"/>
                <w:lang w:val="ru-RU"/>
              </w:rPr>
            </w:pPr>
            <w:r w:rsidRPr="002426B7">
              <w:rPr>
                <w:b/>
                <w:color w:val="auto"/>
                <w:lang w:val="ru-RU"/>
              </w:rPr>
              <w:t>Цель реализации КПМК</w:t>
            </w:r>
          </w:p>
        </w:tc>
        <w:tc>
          <w:tcPr>
            <w:tcW w:w="7200" w:type="dxa"/>
          </w:tcPr>
          <w:p w:rsidR="0081669C" w:rsidRPr="00A46DC0"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Краткое описание и цель реализации КПМК</w:t>
            </w:r>
          </w:p>
        </w:tc>
      </w:tr>
      <w:tr w:rsidR="0081669C" w:rsidRPr="0090620B" w:rsidTr="00A46DC0">
        <w:trPr>
          <w:trHeight w:val="1266"/>
        </w:trPr>
        <w:tc>
          <w:tcPr>
            <w:tcW w:w="426" w:type="dxa"/>
          </w:tcPr>
          <w:p w:rsidR="0081669C" w:rsidRPr="00EC0B60" w:rsidRDefault="0081669C" w:rsidP="00676819">
            <w:pPr>
              <w:pStyle w:val="ListParagraph"/>
              <w:numPr>
                <w:ilvl w:val="0"/>
                <w:numId w:val="2"/>
              </w:numPr>
              <w:tabs>
                <w:tab w:val="right" w:leader="underscore" w:pos="5400"/>
                <w:tab w:val="left" w:pos="5580"/>
                <w:tab w:val="right" w:leader="underscore" w:pos="10800"/>
              </w:tabs>
              <w:spacing w:before="120" w:after="0" w:line="240" w:lineRule="auto"/>
              <w:ind w:left="176" w:hanging="142"/>
              <w:jc w:val="center"/>
              <w:rPr>
                <w:rFonts w:ascii="Times New Roman" w:hAnsi="Times New Roman"/>
                <w:b/>
                <w:sz w:val="24"/>
                <w:szCs w:val="24"/>
              </w:rPr>
            </w:pPr>
          </w:p>
        </w:tc>
        <w:tc>
          <w:tcPr>
            <w:tcW w:w="2297" w:type="dxa"/>
            <w:gridSpan w:val="2"/>
          </w:tcPr>
          <w:p w:rsidR="0081669C" w:rsidRPr="002426B7" w:rsidRDefault="0081669C" w:rsidP="00A81D31">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color w:val="auto"/>
                <w:lang w:val="ru-RU"/>
              </w:rPr>
            </w:pPr>
            <w:r w:rsidRPr="002426B7">
              <w:rPr>
                <w:b/>
                <w:color w:val="auto"/>
                <w:lang w:val="ru-RU"/>
              </w:rPr>
              <w:t xml:space="preserve">Перечень конкурентоспособной продукции – предмет </w:t>
            </w:r>
            <w:r>
              <w:rPr>
                <w:b/>
                <w:color w:val="auto"/>
                <w:lang w:val="ru-RU"/>
              </w:rPr>
              <w:t>КПМК</w:t>
            </w:r>
          </w:p>
        </w:tc>
        <w:tc>
          <w:tcPr>
            <w:tcW w:w="7200" w:type="dxa"/>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 xml:space="preserve">наименование конкурентоспособной продукции  </w:t>
            </w:r>
          </w:p>
          <w:p w:rsidR="0081669C"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коды ТН ВЭД и ОКПД 2</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250DA">
              <w:rPr>
                <w:i/>
                <w:color w:val="auto"/>
                <w:lang w:val="ru-RU"/>
              </w:rPr>
              <w:t>информация о наличии спик</w:t>
            </w:r>
          </w:p>
          <w:p w:rsidR="0081669C"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 xml:space="preserve"> краткое описание продукции</w:t>
            </w:r>
            <w:r>
              <w:rPr>
                <w:i/>
                <w:color w:val="auto"/>
                <w:lang w:val="ru-RU"/>
              </w:rPr>
              <w:t>:</w:t>
            </w:r>
          </w:p>
          <w:p w:rsidR="0081669C"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C7299C">
              <w:rPr>
                <w:i/>
                <w:color w:val="auto"/>
                <w:lang w:val="ru-RU"/>
              </w:rPr>
              <w:t>Основные характеристики продукции (работ, услуг) (функциональное назначение, основные потребительские качества и параметры продукции (работ, услуг), соответствие государственным стандартам, патентно-лицензионная защита, требования к контролю качества, сервисное обслуживание, возможности адаптации (модификация) продукции (работ, услуг) к изменениям рынка)</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color w:val="auto"/>
                <w:lang w:val="ru-RU"/>
              </w:rPr>
            </w:pPr>
            <w:r w:rsidRPr="002426B7">
              <w:rPr>
                <w:i/>
                <w:color w:val="auto"/>
                <w:lang w:val="ru-RU"/>
              </w:rPr>
              <w:t>идентификационный код отрасли</w:t>
            </w:r>
            <w:r w:rsidRPr="002426B7">
              <w:rPr>
                <w:color w:val="auto"/>
                <w:lang w:val="ru-RU"/>
              </w:rPr>
              <w:t>:</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1 - машиностроение:</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1.1 - автомобилестроение;</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 xml:space="preserve">1.2 - железнодорожное; </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 xml:space="preserve">1.3 - сельхозмашиностроение, строительно-дорожное и пищевое; </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1.4- станкоинструментальное;</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1.5 - тяжелое машиностроение;</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 xml:space="preserve">1.6 - нефтегазовое машиностроение;  </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1.7 - энергетическое машиностроение;</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1.8 - судостроение;</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2 - химическая промышленность;</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3 - металлургическая промышленность;</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4 - лесопромышленный комплекс;</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5 - фармацевтическая и косметическая промышленность;</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6 - легкая промышленность;</w:t>
            </w:r>
          </w:p>
          <w:p w:rsidR="0081669C" w:rsidRPr="00A46DC0" w:rsidRDefault="0081669C" w:rsidP="00010EC4">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46DC0">
              <w:rPr>
                <w:i/>
                <w:color w:val="auto"/>
                <w:lang w:val="ru-RU"/>
              </w:rPr>
              <w:t xml:space="preserve">7 - прочие отрасли промышленности. </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p>
        </w:tc>
      </w:tr>
      <w:tr w:rsidR="0081669C" w:rsidRPr="002426B7" w:rsidTr="002045DE">
        <w:trPr>
          <w:trHeight w:val="417"/>
        </w:trPr>
        <w:tc>
          <w:tcPr>
            <w:tcW w:w="426" w:type="dxa"/>
          </w:tcPr>
          <w:p w:rsidR="0081669C" w:rsidRPr="00EC0B60" w:rsidRDefault="0081669C" w:rsidP="00676819">
            <w:pPr>
              <w:pStyle w:val="ListParagraph"/>
              <w:numPr>
                <w:ilvl w:val="0"/>
                <w:numId w:val="2"/>
              </w:numPr>
              <w:tabs>
                <w:tab w:val="right" w:leader="underscore" w:pos="5400"/>
                <w:tab w:val="left" w:pos="5580"/>
                <w:tab w:val="right" w:leader="underscore" w:pos="10800"/>
              </w:tabs>
              <w:spacing w:before="120" w:after="0" w:line="240" w:lineRule="auto"/>
              <w:ind w:left="176" w:hanging="142"/>
              <w:jc w:val="center"/>
              <w:rPr>
                <w:rFonts w:ascii="Times New Roman" w:hAnsi="Times New Roman"/>
                <w:b/>
                <w:sz w:val="24"/>
                <w:szCs w:val="24"/>
              </w:rPr>
            </w:pPr>
          </w:p>
        </w:tc>
        <w:tc>
          <w:tcPr>
            <w:tcW w:w="2297" w:type="dxa"/>
            <w:gridSpan w:val="2"/>
          </w:tcPr>
          <w:p w:rsidR="0081669C" w:rsidRPr="002426B7" w:rsidRDefault="0081669C" w:rsidP="00A81D31">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color w:val="auto"/>
                <w:lang w:val="ru-RU"/>
              </w:rPr>
            </w:pPr>
            <w:r w:rsidRPr="002426B7">
              <w:rPr>
                <w:b/>
                <w:color w:val="auto"/>
                <w:lang w:val="ru-RU"/>
              </w:rPr>
              <w:t xml:space="preserve">Основные финансовые показатели </w:t>
            </w:r>
          </w:p>
        </w:tc>
        <w:tc>
          <w:tcPr>
            <w:tcW w:w="7200" w:type="dxa"/>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 объем выручки от реализации конкурентоспособной продукции по годам</w:t>
            </w:r>
            <w:r>
              <w:rPr>
                <w:i/>
                <w:color w:val="auto"/>
                <w:lang w:val="ru-RU"/>
              </w:rPr>
              <w:t xml:space="preserve"> реализации проекта до</w:t>
            </w:r>
            <w:r w:rsidRPr="002426B7">
              <w:rPr>
                <w:i/>
                <w:color w:val="auto"/>
                <w:lang w:val="ru-RU"/>
              </w:rPr>
              <w:t xml:space="preserve"> 2024 год</w:t>
            </w:r>
            <w:r>
              <w:rPr>
                <w:i/>
                <w:color w:val="auto"/>
                <w:lang w:val="ru-RU"/>
              </w:rPr>
              <w:t>а включительно, а также за текущий год и три последних года</w:t>
            </w:r>
            <w:r w:rsidRPr="002426B7">
              <w:rPr>
                <w:i/>
                <w:color w:val="auto"/>
                <w:lang w:val="ru-RU"/>
              </w:rPr>
              <w:t>, в млн руб.,</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 объем выручки от реализации конкурентоспособной продукции на внешнем рынке</w:t>
            </w:r>
            <w:r>
              <w:rPr>
                <w:i/>
                <w:color w:val="auto"/>
                <w:lang w:val="ru-RU"/>
              </w:rPr>
              <w:t xml:space="preserve"> до</w:t>
            </w:r>
            <w:r w:rsidRPr="002426B7">
              <w:rPr>
                <w:i/>
                <w:color w:val="auto"/>
                <w:lang w:val="ru-RU"/>
              </w:rPr>
              <w:t xml:space="preserve"> 2024 год</w:t>
            </w:r>
            <w:r>
              <w:rPr>
                <w:i/>
                <w:color w:val="auto"/>
                <w:lang w:val="ru-RU"/>
              </w:rPr>
              <w:t>а включительно</w:t>
            </w:r>
            <w:r w:rsidRPr="002426B7">
              <w:rPr>
                <w:i/>
                <w:color w:val="auto"/>
                <w:lang w:val="ru-RU"/>
              </w:rPr>
              <w:t>,</w:t>
            </w:r>
            <w:r w:rsidRPr="002426B7">
              <w:rPr>
                <w:color w:val="auto"/>
                <w:lang w:val="ru-RU"/>
              </w:rPr>
              <w:t xml:space="preserve"> </w:t>
            </w:r>
            <w:r w:rsidRPr="002426B7">
              <w:rPr>
                <w:i/>
                <w:color w:val="auto"/>
                <w:lang w:val="ru-RU"/>
              </w:rPr>
              <w:t>по годам</w:t>
            </w:r>
            <w:r>
              <w:rPr>
                <w:i/>
                <w:color w:val="auto"/>
                <w:lang w:val="ru-RU"/>
              </w:rPr>
              <w:t xml:space="preserve"> реализации проекта, а также за текущий год и три последних года</w:t>
            </w:r>
            <w:r w:rsidRPr="002426B7">
              <w:rPr>
                <w:i/>
                <w:color w:val="auto"/>
                <w:lang w:val="ru-RU"/>
              </w:rPr>
              <w:t>, в млн руб.,</w:t>
            </w:r>
          </w:p>
          <w:p w:rsidR="0081669C"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w:t>
            </w:r>
            <w:r w:rsidRPr="002426B7">
              <w:rPr>
                <w:color w:val="auto"/>
                <w:lang w:val="ru-RU"/>
              </w:rPr>
              <w:t xml:space="preserve"> </w:t>
            </w:r>
            <w:r w:rsidRPr="002426B7">
              <w:rPr>
                <w:i/>
                <w:color w:val="auto"/>
                <w:lang w:val="ru-RU"/>
              </w:rPr>
              <w:t xml:space="preserve">данные аналитического учета по счету 90 (анализ счета) в корреспонденции со счетами 62.1 и 62.11 </w:t>
            </w:r>
            <w:r>
              <w:rPr>
                <w:i/>
                <w:color w:val="auto"/>
                <w:lang w:val="ru-RU"/>
              </w:rPr>
              <w:t>за год, предшествующий году подачи заявления;</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Pr>
                <w:i/>
                <w:color w:val="auto"/>
                <w:lang w:val="ru-RU"/>
              </w:rPr>
              <w:t xml:space="preserve">- план-график финансового обеспечения мероприятий, необходимых для реализации корпоративного проекта, в разрезе источников (заемные средства, собственные средства, средства субсидии); </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 показатель конкурентоспособности продукции (%)</w:t>
            </w:r>
          </w:p>
        </w:tc>
      </w:tr>
      <w:tr w:rsidR="0081669C" w:rsidRPr="0090620B" w:rsidTr="00160174">
        <w:trPr>
          <w:trHeight w:val="518"/>
        </w:trPr>
        <w:tc>
          <w:tcPr>
            <w:tcW w:w="426" w:type="dxa"/>
          </w:tcPr>
          <w:p w:rsidR="0081669C" w:rsidRPr="00EC0B60" w:rsidRDefault="0081669C" w:rsidP="00676819">
            <w:pPr>
              <w:pStyle w:val="ListParagraph"/>
              <w:numPr>
                <w:ilvl w:val="0"/>
                <w:numId w:val="2"/>
              </w:numPr>
              <w:tabs>
                <w:tab w:val="right" w:leader="underscore" w:pos="5400"/>
                <w:tab w:val="left" w:pos="5580"/>
                <w:tab w:val="right" w:leader="underscore" w:pos="10800"/>
              </w:tabs>
              <w:spacing w:before="120" w:after="0" w:line="240" w:lineRule="auto"/>
              <w:ind w:left="176" w:hanging="142"/>
              <w:jc w:val="center"/>
              <w:rPr>
                <w:rFonts w:ascii="Times New Roman" w:hAnsi="Times New Roman"/>
                <w:b/>
                <w:sz w:val="24"/>
                <w:szCs w:val="24"/>
              </w:rPr>
            </w:pPr>
          </w:p>
        </w:tc>
        <w:tc>
          <w:tcPr>
            <w:tcW w:w="2297" w:type="dxa"/>
            <w:gridSpan w:val="2"/>
          </w:tcPr>
          <w:p w:rsidR="0081669C" w:rsidRPr="002426B7" w:rsidRDefault="0081669C" w:rsidP="00A81D31">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color w:val="auto"/>
                <w:lang w:val="ru-RU"/>
              </w:rPr>
            </w:pPr>
            <w:r w:rsidRPr="002426B7">
              <w:rPr>
                <w:b/>
                <w:color w:val="auto"/>
                <w:lang w:val="ru-RU"/>
              </w:rPr>
              <w:t xml:space="preserve">Перечень торговых и иных организаций (агент, торговый дом, дилерский центр, уполномоченная организация), реализующих продукцию, предметом которых является </w:t>
            </w:r>
            <w:r>
              <w:rPr>
                <w:b/>
                <w:color w:val="auto"/>
                <w:lang w:val="ru-RU"/>
              </w:rPr>
              <w:t>КПМК</w:t>
            </w:r>
          </w:p>
        </w:tc>
        <w:tc>
          <w:tcPr>
            <w:tcW w:w="7200" w:type="dxa"/>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color w:val="auto"/>
                <w:lang w:val="ru-RU"/>
              </w:rPr>
            </w:pPr>
            <w:r w:rsidRPr="002426B7">
              <w:rPr>
                <w:i/>
                <w:color w:val="auto"/>
                <w:lang w:val="ru-RU"/>
              </w:rPr>
              <w:t>наименование, местонахождение, идентификационный номер налогоплательщика и (или) код причины постановки на учет организации, основной государственный регистрационный номер</w:t>
            </w:r>
            <w:r w:rsidRPr="002426B7">
              <w:rPr>
                <w:color w:val="auto"/>
                <w:lang w:val="ru-RU"/>
              </w:rPr>
              <w:t xml:space="preserve"> </w:t>
            </w:r>
          </w:p>
        </w:tc>
      </w:tr>
      <w:tr w:rsidR="0081669C" w:rsidRPr="0090620B" w:rsidTr="00160174">
        <w:trPr>
          <w:trHeight w:val="518"/>
        </w:trPr>
        <w:tc>
          <w:tcPr>
            <w:tcW w:w="426" w:type="dxa"/>
          </w:tcPr>
          <w:p w:rsidR="0081669C" w:rsidRPr="00EC0B60" w:rsidRDefault="0081669C" w:rsidP="00676819">
            <w:pPr>
              <w:pStyle w:val="ListParagraph"/>
              <w:numPr>
                <w:ilvl w:val="0"/>
                <w:numId w:val="2"/>
              </w:numPr>
              <w:tabs>
                <w:tab w:val="right" w:leader="underscore" w:pos="5400"/>
                <w:tab w:val="left" w:pos="5580"/>
                <w:tab w:val="right" w:leader="underscore" w:pos="10800"/>
              </w:tabs>
              <w:spacing w:before="120" w:after="0" w:line="240" w:lineRule="auto"/>
              <w:ind w:left="176" w:hanging="142"/>
              <w:jc w:val="center"/>
              <w:rPr>
                <w:rFonts w:ascii="Times New Roman" w:hAnsi="Times New Roman"/>
                <w:b/>
                <w:sz w:val="24"/>
                <w:szCs w:val="24"/>
              </w:rPr>
            </w:pPr>
          </w:p>
        </w:tc>
        <w:tc>
          <w:tcPr>
            <w:tcW w:w="2297" w:type="dxa"/>
            <w:gridSpan w:val="2"/>
          </w:tcPr>
          <w:p w:rsidR="0081669C" w:rsidRPr="002426B7" w:rsidRDefault="0081669C" w:rsidP="00A81D31">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color w:val="auto"/>
                <w:lang w:val="ru-RU"/>
              </w:rPr>
            </w:pPr>
            <w:r w:rsidRPr="002426B7">
              <w:rPr>
                <w:b/>
                <w:color w:val="auto"/>
                <w:lang w:val="ru-RU"/>
              </w:rPr>
              <w:t xml:space="preserve">Перечень внешних рынков в рамках реализации </w:t>
            </w:r>
            <w:r>
              <w:rPr>
                <w:b/>
                <w:color w:val="auto"/>
                <w:lang w:val="ru-RU"/>
              </w:rPr>
              <w:t>КПМК</w:t>
            </w:r>
          </w:p>
        </w:tc>
        <w:tc>
          <w:tcPr>
            <w:tcW w:w="7200" w:type="dxa"/>
          </w:tcPr>
          <w:p w:rsidR="0081669C" w:rsidRPr="00C7299C" w:rsidRDefault="0081669C" w:rsidP="00A46DC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2426B7">
              <w:rPr>
                <w:i/>
                <w:color w:val="auto"/>
                <w:lang w:val="ru-RU"/>
              </w:rPr>
              <w:t xml:space="preserve">Перечень </w:t>
            </w:r>
            <w:r>
              <w:rPr>
                <w:i/>
                <w:color w:val="auto"/>
                <w:lang w:val="ru-RU"/>
              </w:rPr>
              <w:t>потенциальных рынков сбыта (государств), м</w:t>
            </w:r>
            <w:r>
              <w:rPr>
                <w:i/>
                <w:iCs/>
                <w:color w:val="auto"/>
                <w:lang w:val="ru-RU" w:eastAsia="en-US"/>
              </w:rPr>
              <w:t>аркетинг и сбыт продукции (работ, услуг).</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i/>
                <w:iCs/>
                <w:color w:val="auto"/>
                <w:lang w:val="ru-RU" w:eastAsia="en-US"/>
              </w:rPr>
            </w:pPr>
            <w:r>
              <w:rPr>
                <w:i/>
                <w:iCs/>
                <w:color w:val="auto"/>
                <w:lang w:val="ru-RU" w:eastAsia="en-US"/>
              </w:rPr>
              <w:t>В этом разделе должно быть доказано, что продукция (работ, услуг) имеет рынок сбыта, и обоснованы подходящая тактика конкурентной борьбы и механизм продвижения продукции на рынок:</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ind w:firstLine="35"/>
              <w:jc w:val="both"/>
              <w:rPr>
                <w:i/>
                <w:iCs/>
                <w:color w:val="auto"/>
                <w:lang w:val="ru-RU" w:eastAsia="en-US"/>
              </w:rPr>
            </w:pPr>
            <w:r>
              <w:rPr>
                <w:i/>
                <w:iCs/>
                <w:color w:val="auto"/>
                <w:lang w:val="ru-RU" w:eastAsia="en-US"/>
              </w:rPr>
              <w:t>Факторный анализ состояния рынков сбыта продукции (работ, услуг) и его сегментов (емкость, степень насыщенности, потенциал роста рынка), оценка перспективности указанных рынков и (или) условия, необходимые для обеспечения выполнения КПМК в части реализации продукции нерезидентам Российской Федерации.</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ind w:firstLine="35"/>
              <w:jc w:val="both"/>
              <w:rPr>
                <w:i/>
                <w:iCs/>
                <w:color w:val="auto"/>
                <w:lang w:val="ru-RU" w:eastAsia="en-US"/>
              </w:rPr>
            </w:pPr>
            <w:r>
              <w:rPr>
                <w:i/>
                <w:iCs/>
                <w:color w:val="auto"/>
                <w:lang w:val="ru-RU" w:eastAsia="en-US"/>
              </w:rPr>
              <w:t>Оценка доли на рынке и объема продаж по номенклатуре выпускаемой продукции (работ, услуг).</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ind w:firstLine="35"/>
              <w:jc w:val="both"/>
              <w:rPr>
                <w:i/>
                <w:iCs/>
                <w:color w:val="auto"/>
                <w:lang w:val="ru-RU" w:eastAsia="en-US"/>
              </w:rPr>
            </w:pPr>
            <w:r>
              <w:rPr>
                <w:i/>
                <w:iCs/>
                <w:color w:val="auto"/>
                <w:lang w:val="ru-RU" w:eastAsia="en-US"/>
              </w:rPr>
              <w:t>Обоснование рыночной ниши продукции (работ, услуг) и среднесрочная концепция ее расширения, т.е. характеристика целевых рынков и поведения потребителей, прогнозы продаж, трудности выхода (расширения) на целевые рынки, наиболее эффективные механизмы продвижения продукции (работ, услуг) на целевые рынки.</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i/>
                <w:iCs/>
                <w:color w:val="auto"/>
                <w:lang w:val="ru-RU" w:eastAsia="en-US"/>
              </w:rPr>
            </w:pPr>
            <w:r>
              <w:rPr>
                <w:i/>
                <w:iCs/>
                <w:color w:val="auto"/>
                <w:lang w:val="ru-RU" w:eastAsia="en-US"/>
              </w:rPr>
              <w:t>Тактика реализации продукции (работ, услуг). Анализ методов реализации (прямая поставка, торговые представители, посредники) и их эффективность, выбор приоритетных каналов сбыта в долгосрочной перспективе, наличие договоров и протоколов намерений на поставку.</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i/>
                <w:iCs/>
                <w:color w:val="auto"/>
                <w:lang w:val="ru-RU" w:eastAsia="en-US"/>
              </w:rPr>
            </w:pPr>
            <w:r>
              <w:rPr>
                <w:i/>
                <w:iCs/>
                <w:color w:val="auto"/>
                <w:lang w:val="ru-RU" w:eastAsia="en-US"/>
              </w:rPr>
              <w:t>Политика послепродажного обслуживания и предоставления гарантий.</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jc w:val="both"/>
              <w:rPr>
                <w:i/>
                <w:iCs/>
                <w:color w:val="auto"/>
                <w:lang w:val="ru-RU" w:eastAsia="en-US"/>
              </w:rPr>
            </w:pPr>
            <w:r>
              <w:rPr>
                <w:i/>
                <w:iCs/>
                <w:color w:val="auto"/>
                <w:lang w:val="ru-RU" w:eastAsia="en-US"/>
              </w:rPr>
              <w:t>Реклама и продвижение продукции (работ, услуг) на рынок.</w:t>
            </w:r>
          </w:p>
          <w:p w:rsidR="0081669C" w:rsidRDefault="0081669C" w:rsidP="00A46DC0">
            <w:pPr>
              <w:pBdr>
                <w:top w:val="none" w:sz="0" w:space="0" w:color="auto"/>
                <w:left w:val="none" w:sz="0" w:space="0" w:color="auto"/>
                <w:bottom w:val="none" w:sz="0" w:space="0" w:color="auto"/>
                <w:right w:val="none" w:sz="0" w:space="0" w:color="auto"/>
                <w:bar w:val="none" w:sz="0" w:color="auto"/>
              </w:pBdr>
              <w:autoSpaceDE w:val="0"/>
              <w:autoSpaceDN w:val="0"/>
              <w:adjustRightInd w:val="0"/>
              <w:ind w:firstLine="35"/>
              <w:jc w:val="both"/>
              <w:rPr>
                <w:i/>
                <w:iCs/>
                <w:color w:val="auto"/>
                <w:lang w:val="ru-RU" w:eastAsia="en-US"/>
              </w:rPr>
            </w:pPr>
            <w:r>
              <w:rPr>
                <w:i/>
                <w:iCs/>
                <w:color w:val="auto"/>
                <w:lang w:val="ru-RU" w:eastAsia="en-US"/>
              </w:rPr>
              <w:t>Стратегия в области качества (наиболее привлекательные для потребителей характеристики качества продукции (работ, услуг), тенденции их изменения, стратегическая линия поведения претендента на рынке в области качества и дизайна продукции (работ, услуг)).</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color w:val="auto"/>
                <w:lang w:val="ru-RU"/>
              </w:rPr>
            </w:pPr>
          </w:p>
        </w:tc>
      </w:tr>
      <w:tr w:rsidR="0081669C" w:rsidRPr="0090620B" w:rsidTr="00160174">
        <w:trPr>
          <w:trHeight w:val="518"/>
        </w:trPr>
        <w:tc>
          <w:tcPr>
            <w:tcW w:w="426" w:type="dxa"/>
          </w:tcPr>
          <w:p w:rsidR="0081669C" w:rsidRPr="00EC0B60" w:rsidRDefault="0081669C" w:rsidP="00676819">
            <w:pPr>
              <w:pStyle w:val="ListParagraph"/>
              <w:numPr>
                <w:ilvl w:val="0"/>
                <w:numId w:val="2"/>
              </w:numPr>
              <w:tabs>
                <w:tab w:val="right" w:leader="underscore" w:pos="5400"/>
                <w:tab w:val="left" w:pos="5580"/>
                <w:tab w:val="right" w:leader="underscore" w:pos="10800"/>
              </w:tabs>
              <w:spacing w:before="120" w:after="0" w:line="240" w:lineRule="auto"/>
              <w:ind w:left="176" w:hanging="142"/>
              <w:jc w:val="center"/>
              <w:rPr>
                <w:rFonts w:ascii="Times New Roman" w:hAnsi="Times New Roman"/>
                <w:b/>
                <w:sz w:val="24"/>
                <w:szCs w:val="24"/>
              </w:rPr>
            </w:pPr>
          </w:p>
        </w:tc>
        <w:tc>
          <w:tcPr>
            <w:tcW w:w="2297" w:type="dxa"/>
            <w:gridSpan w:val="2"/>
          </w:tcPr>
          <w:p w:rsidR="0081669C" w:rsidRPr="002426B7" w:rsidRDefault="0081669C" w:rsidP="00A46DC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b/>
                <w:color w:val="auto"/>
                <w:lang w:val="ru-RU"/>
              </w:rPr>
            </w:pPr>
            <w:r w:rsidRPr="002426B7">
              <w:rPr>
                <w:b/>
                <w:color w:val="auto"/>
                <w:lang w:val="ru-RU"/>
              </w:rPr>
              <w:t xml:space="preserve">Перечень мероприятий </w:t>
            </w:r>
            <w:r>
              <w:rPr>
                <w:b/>
                <w:color w:val="auto"/>
                <w:lang w:val="ru-RU"/>
              </w:rPr>
              <w:t xml:space="preserve">до 2024 года, необходимых для повышения конкурентоспособности продукции </w:t>
            </w:r>
            <w:r w:rsidRPr="002426B7">
              <w:rPr>
                <w:b/>
                <w:color w:val="auto"/>
                <w:lang w:val="ru-RU"/>
              </w:rPr>
              <w:t xml:space="preserve">в рамках реализации </w:t>
            </w:r>
            <w:r>
              <w:rPr>
                <w:b/>
                <w:color w:val="auto"/>
                <w:lang w:val="ru-RU"/>
              </w:rPr>
              <w:t>КПМК</w:t>
            </w:r>
          </w:p>
          <w:p w:rsidR="0081669C" w:rsidRPr="002426B7" w:rsidRDefault="0081669C" w:rsidP="00A46DC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b/>
                <w:color w:val="auto"/>
                <w:lang w:val="ru-RU"/>
              </w:rPr>
            </w:pPr>
            <w:r w:rsidRPr="002426B7">
              <w:rPr>
                <w:b/>
                <w:color w:val="auto"/>
                <w:lang w:val="ru-RU"/>
              </w:rPr>
              <w:t>и сроки их реализации</w:t>
            </w:r>
          </w:p>
        </w:tc>
        <w:tc>
          <w:tcPr>
            <w:tcW w:w="7200" w:type="dxa"/>
          </w:tcPr>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 xml:space="preserve">1. </w:t>
            </w:r>
            <w:r>
              <w:rPr>
                <w:i/>
                <w:color w:val="auto"/>
                <w:lang w:val="ru-RU"/>
              </w:rPr>
              <w:t>Мероприятия</w:t>
            </w:r>
            <w:r w:rsidRPr="00B82BD3">
              <w:rPr>
                <w:i/>
                <w:color w:val="auto"/>
                <w:lang w:val="ru-RU"/>
              </w:rPr>
              <w:t>, связанные с регистрацией на внешних рынках объектов интеллектуальной собственности.</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2. Мероприятия, связанные с сертификацией продукции на внешних рынках.</w:t>
            </w:r>
          </w:p>
          <w:p w:rsidR="0081669C" w:rsidRPr="0090620B"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90620B">
              <w:rPr>
                <w:i/>
                <w:color w:val="auto"/>
                <w:lang w:val="ru-RU"/>
              </w:rPr>
              <w:t>3. Мероприятия, связанные с транспортировкой продукции.</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90620B">
              <w:rPr>
                <w:i/>
                <w:color w:val="auto"/>
                <w:lang w:val="ru-RU"/>
              </w:rPr>
              <w:t>4. Мероприятия, связанные с производством и реализацией</w:t>
            </w:r>
            <w:r w:rsidRPr="00B82BD3">
              <w:rPr>
                <w:i/>
                <w:color w:val="auto"/>
                <w:lang w:val="ru-RU"/>
              </w:rPr>
              <w:t xml:space="preserve"> продукции, в том числе связанные с:</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а) закупкой комплектующих изделий (деталей, узлов, агрегатов), необходимых для производства продукции;</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б) оплатой труда работников (включая расходы на обязательное социальное страхование), непосредственно занятых с производством и реализацией продукции;</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Pr>
                <w:i/>
                <w:color w:val="auto"/>
                <w:lang w:val="ru-RU"/>
              </w:rPr>
              <w:t>в</w:t>
            </w:r>
            <w:r w:rsidRPr="00B82BD3">
              <w:rPr>
                <w:i/>
                <w:color w:val="auto"/>
                <w:lang w:val="ru-RU"/>
              </w:rPr>
              <w:t>) накладные расходы, относящиеся к производству и реализации продукции</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Pr>
                <w:i/>
                <w:color w:val="auto"/>
                <w:lang w:val="ru-RU"/>
              </w:rPr>
              <w:t>г</w:t>
            </w:r>
            <w:r w:rsidRPr="00B82BD3">
              <w:rPr>
                <w:i/>
                <w:color w:val="auto"/>
                <w:lang w:val="ru-RU"/>
              </w:rPr>
              <w:t>) расходы на рекламу и продвижение продукции.</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5. Мероприятия, связанные с организацией производства продукции, в том числе лизинговые и арендные платежи, а также связанные с созданием рабочих мест.</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6. Мероприятия, связанные с созданием системы послепродажного обслуживания, в том числе связанные с:</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а) формированием складов запасных частей;</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б) выпуском и поддержкой гарантийных обязательств</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в) с созданием сети сервисных центров.</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 xml:space="preserve">7. </w:t>
            </w:r>
            <w:r w:rsidRPr="001E2FEF">
              <w:rPr>
                <w:i/>
                <w:color w:val="auto"/>
                <w:lang w:val="ru-RU"/>
              </w:rPr>
              <w:t>Мероприятия</w:t>
            </w:r>
            <w:r w:rsidRPr="00B82BD3">
              <w:rPr>
                <w:i/>
                <w:color w:val="auto"/>
                <w:lang w:val="ru-RU"/>
              </w:rPr>
              <w:t>, связанные с обслуживанием заемных средств, направленных на создание и развитие имущественных комплексов промышленных предприятий и промышленной инфраструктуры.</w:t>
            </w:r>
          </w:p>
          <w:p w:rsidR="0081669C" w:rsidRPr="00B82BD3"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 xml:space="preserve">8. </w:t>
            </w:r>
            <w:r w:rsidRPr="001E2FEF">
              <w:rPr>
                <w:i/>
                <w:color w:val="auto"/>
                <w:lang w:val="ru-RU"/>
              </w:rPr>
              <w:t>Мероприятия</w:t>
            </w:r>
            <w:r w:rsidRPr="00B82BD3">
              <w:rPr>
                <w:i/>
                <w:color w:val="auto"/>
                <w:lang w:val="ru-RU"/>
              </w:rPr>
              <w:t>, связанные с проведением научно-исследовательских и опытно-конструкторских работ, а также затраты на омологацию.</w:t>
            </w:r>
          </w:p>
          <w:p w:rsidR="0081669C"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B82BD3">
              <w:rPr>
                <w:i/>
                <w:color w:val="auto"/>
                <w:lang w:val="ru-RU"/>
              </w:rPr>
              <w:t xml:space="preserve">9. </w:t>
            </w:r>
            <w:r w:rsidRPr="001E2FEF">
              <w:rPr>
                <w:i/>
                <w:color w:val="auto"/>
                <w:lang w:val="ru-RU"/>
              </w:rPr>
              <w:t>Мероприятия</w:t>
            </w:r>
            <w:r w:rsidRPr="00B82BD3">
              <w:rPr>
                <w:i/>
                <w:color w:val="auto"/>
                <w:lang w:val="ru-RU"/>
              </w:rPr>
              <w:t>, связанные с приобретением специализированного программного обеспечения.</w:t>
            </w:r>
          </w:p>
          <w:p w:rsidR="0081669C"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p>
          <w:p w:rsidR="0081669C"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5E2E6B">
              <w:rPr>
                <w:i/>
                <w:color w:val="auto"/>
                <w:lang w:val="ru-RU"/>
              </w:rPr>
              <w:t xml:space="preserve">Сроки реализации мероприятий не могут быть более 12 месяцев, в течение каждого года реализации проекта должно быть завершено </w:t>
            </w:r>
            <w:r>
              <w:rPr>
                <w:i/>
                <w:color w:val="auto"/>
                <w:lang w:val="ru-RU"/>
              </w:rPr>
              <w:t xml:space="preserve">не менее двух мероприятий </w:t>
            </w:r>
            <w:r w:rsidRPr="005E2E6B">
              <w:rPr>
                <w:i/>
                <w:color w:val="auto"/>
                <w:lang w:val="ru-RU"/>
              </w:rPr>
              <w:t xml:space="preserve"> </w:t>
            </w:r>
          </w:p>
          <w:p w:rsidR="0081669C" w:rsidRPr="00A46DC0" w:rsidRDefault="0081669C" w:rsidP="00B82BD3">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p>
        </w:tc>
      </w:tr>
      <w:tr w:rsidR="0081669C" w:rsidRPr="0090620B" w:rsidTr="00EF4C08">
        <w:trPr>
          <w:trHeight w:val="518"/>
        </w:trPr>
        <w:tc>
          <w:tcPr>
            <w:tcW w:w="455" w:type="dxa"/>
            <w:gridSpan w:val="2"/>
          </w:tcPr>
          <w:p w:rsidR="0081669C" w:rsidRPr="000572BA" w:rsidRDefault="0081669C" w:rsidP="000572BA">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ind w:left="-75"/>
              <w:rPr>
                <w:b/>
                <w:lang w:val="ru-RU"/>
              </w:rPr>
            </w:pPr>
            <w:r>
              <w:rPr>
                <w:b/>
                <w:lang w:val="ru-RU"/>
              </w:rPr>
              <w:t>7.</w:t>
            </w:r>
          </w:p>
        </w:tc>
        <w:tc>
          <w:tcPr>
            <w:tcW w:w="2268" w:type="dxa"/>
          </w:tcPr>
          <w:p w:rsidR="0081669C" w:rsidRPr="0066556F" w:rsidRDefault="0081669C" w:rsidP="00EF4C08">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b/>
                <w:color w:val="auto"/>
                <w:lang w:val="ru-RU"/>
              </w:rPr>
            </w:pPr>
            <w:r w:rsidRPr="0066556F">
              <w:rPr>
                <w:b/>
                <w:color w:val="auto"/>
                <w:lang w:val="ru-RU"/>
              </w:rPr>
              <w:t>Показатели результативности использования субсидии с разбивкой по годам на период действия соглашения о предоставлении субсидии</w:t>
            </w:r>
          </w:p>
        </w:tc>
        <w:tc>
          <w:tcPr>
            <w:tcW w:w="7200"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3"/>
              <w:gridCol w:w="850"/>
              <w:gridCol w:w="628"/>
              <w:gridCol w:w="648"/>
              <w:gridCol w:w="709"/>
              <w:gridCol w:w="850"/>
              <w:gridCol w:w="709"/>
              <w:gridCol w:w="1137"/>
            </w:tblGrid>
            <w:tr w:rsidR="0081669C" w:rsidRPr="0066556F" w:rsidTr="00EC0B60">
              <w:trPr>
                <w:jc w:val="center"/>
              </w:trPr>
              <w:tc>
                <w:tcPr>
                  <w:tcW w:w="1443"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2019</w:t>
                  </w:r>
                </w:p>
              </w:tc>
              <w:tc>
                <w:tcPr>
                  <w:tcW w:w="62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2020</w:t>
                  </w:r>
                </w:p>
              </w:tc>
              <w:tc>
                <w:tcPr>
                  <w:tcW w:w="64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2021</w:t>
                  </w: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2022</w:t>
                  </w: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2023</w:t>
                  </w: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2024</w:t>
                  </w:r>
                </w:p>
              </w:tc>
              <w:tc>
                <w:tcPr>
                  <w:tcW w:w="1137"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заявляемые итоговые показатели</w:t>
                  </w:r>
                </w:p>
              </w:tc>
            </w:tr>
            <w:tr w:rsidR="0081669C" w:rsidRPr="0090620B" w:rsidTr="00EC0B60">
              <w:trPr>
                <w:jc w:val="center"/>
              </w:trPr>
              <w:tc>
                <w:tcPr>
                  <w:tcW w:w="1443"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прирост объема выручки от реализации конкурентоспособной продукции к предыдущему году</w:t>
                  </w: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62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64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1137"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r>
            <w:tr w:rsidR="0081669C" w:rsidRPr="0066556F" w:rsidTr="00EC0B60">
              <w:trPr>
                <w:jc w:val="center"/>
              </w:trPr>
              <w:tc>
                <w:tcPr>
                  <w:tcW w:w="1443"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размер субсидии</w:t>
                  </w: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62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64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1137"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r>
            <w:tr w:rsidR="0081669C" w:rsidRPr="0090620B" w:rsidTr="00EC0B60">
              <w:trPr>
                <w:jc w:val="center"/>
              </w:trPr>
              <w:tc>
                <w:tcPr>
                  <w:tcW w:w="1443"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процентное соотношение заявляемых показателей по годам реализации проекта</w:t>
                  </w: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62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648"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850"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709"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tc>
              <w:tc>
                <w:tcPr>
                  <w:tcW w:w="1137" w:type="dxa"/>
                  <w:tcBorders>
                    <w:top w:val="single" w:sz="4" w:space="0" w:color="auto"/>
                    <w:left w:val="single" w:sz="4" w:space="0" w:color="auto"/>
                    <w:bottom w:val="single" w:sz="4" w:space="0" w:color="auto"/>
                    <w:right w:val="single" w:sz="4" w:space="0" w:color="auto"/>
                  </w:tcBorders>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sz w:val="18"/>
                      <w:szCs w:val="18"/>
                      <w:lang w:val="ru-RU"/>
                    </w:rPr>
                  </w:pPr>
                  <w:r w:rsidRPr="00EC0B60">
                    <w:rPr>
                      <w:i/>
                      <w:color w:val="auto"/>
                      <w:sz w:val="18"/>
                      <w:szCs w:val="18"/>
                      <w:lang w:val="ru-RU"/>
                    </w:rPr>
                    <w:t xml:space="preserve">     100%</w:t>
                  </w:r>
                </w:p>
              </w:tc>
            </w:tr>
          </w:tbl>
          <w:p w:rsidR="0081669C" w:rsidRPr="0066556F" w:rsidRDefault="0081669C" w:rsidP="0055035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66556F">
              <w:rPr>
                <w:i/>
                <w:color w:val="auto"/>
                <w:lang w:val="ru-RU"/>
              </w:rPr>
              <w:t>При формировании таблицы обе первые строки по годам реализации должны быть разбиты в процентном соотношении, указанном в последней строке, за исключением случая, когда в рамках КПМК осуществляется инвестиционный проект.</w:t>
            </w:r>
          </w:p>
          <w:p w:rsidR="0081669C" w:rsidRPr="0066556F" w:rsidRDefault="0081669C" w:rsidP="0055035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p>
        </w:tc>
      </w:tr>
      <w:tr w:rsidR="0081669C" w:rsidRPr="0090620B" w:rsidTr="00EF4C08">
        <w:trPr>
          <w:trHeight w:val="518"/>
        </w:trPr>
        <w:tc>
          <w:tcPr>
            <w:tcW w:w="455" w:type="dxa"/>
            <w:gridSpan w:val="2"/>
          </w:tcPr>
          <w:p w:rsidR="0081669C" w:rsidRPr="000572BA" w:rsidRDefault="0081669C" w:rsidP="000572BA">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lang w:val="ru-RU"/>
              </w:rPr>
            </w:pPr>
            <w:r>
              <w:rPr>
                <w:b/>
                <w:lang w:val="ru-RU"/>
              </w:rPr>
              <w:t>8.</w:t>
            </w:r>
          </w:p>
        </w:tc>
        <w:tc>
          <w:tcPr>
            <w:tcW w:w="2268" w:type="dxa"/>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color w:val="auto"/>
                <w:lang w:val="ru-RU"/>
              </w:rPr>
            </w:pPr>
            <w:r w:rsidRPr="002426B7">
              <w:rPr>
                <w:b/>
                <w:color w:val="auto"/>
                <w:lang w:val="ru-RU"/>
              </w:rPr>
              <w:t xml:space="preserve">Результаты реализации </w:t>
            </w:r>
            <w:r>
              <w:rPr>
                <w:b/>
                <w:color w:val="auto"/>
                <w:lang w:val="ru-RU"/>
              </w:rPr>
              <w:t>КПМК</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b/>
                <w:color w:val="auto"/>
                <w:lang w:val="ru-RU"/>
              </w:rPr>
            </w:pPr>
          </w:p>
        </w:tc>
        <w:tc>
          <w:tcPr>
            <w:tcW w:w="7200" w:type="dxa"/>
          </w:tcPr>
          <w:p w:rsidR="0081669C" w:rsidRPr="00A81D31" w:rsidRDefault="0081669C" w:rsidP="00A81D31">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i/>
                <w:color w:val="auto"/>
                <w:lang w:val="ru-RU"/>
              </w:rPr>
            </w:pPr>
            <w:r w:rsidRPr="00A81D31">
              <w:rPr>
                <w:i/>
                <w:color w:val="auto"/>
                <w:lang w:val="ru-RU"/>
              </w:rPr>
              <w:t xml:space="preserve">Например: вывод нового продукта на целевые рынки, </w:t>
            </w:r>
            <w:r>
              <w:rPr>
                <w:i/>
                <w:color w:val="auto"/>
                <w:lang w:val="ru-RU"/>
              </w:rPr>
              <w:t xml:space="preserve">рост </w:t>
            </w:r>
            <w:r w:rsidRPr="00A81D31">
              <w:rPr>
                <w:i/>
                <w:color w:val="auto"/>
                <w:lang w:val="ru-RU"/>
              </w:rPr>
              <w:t>совокупн</w:t>
            </w:r>
            <w:r>
              <w:rPr>
                <w:i/>
                <w:color w:val="auto"/>
                <w:lang w:val="ru-RU"/>
              </w:rPr>
              <w:t>ого</w:t>
            </w:r>
            <w:r w:rsidRPr="00A81D31">
              <w:rPr>
                <w:i/>
                <w:color w:val="auto"/>
                <w:lang w:val="ru-RU"/>
              </w:rPr>
              <w:t xml:space="preserve"> объем</w:t>
            </w:r>
            <w:r>
              <w:rPr>
                <w:i/>
                <w:color w:val="auto"/>
                <w:lang w:val="ru-RU"/>
              </w:rPr>
              <w:t xml:space="preserve">а реализации продукции </w:t>
            </w:r>
            <w:r w:rsidRPr="00A81D31">
              <w:rPr>
                <w:i/>
                <w:color w:val="auto"/>
                <w:lang w:val="ru-RU"/>
              </w:rPr>
              <w:t>в рамках КПМК, объем экспорта по продукции и услугам в рамках КПМК</w:t>
            </w:r>
          </w:p>
        </w:tc>
      </w:tr>
    </w:tbl>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color w:val="auto"/>
          <w:lang w:val="ru-RU"/>
        </w:rPr>
        <w:sectPr w:rsidR="0081669C" w:rsidRPr="002426B7">
          <w:headerReference w:type="default" r:id="rId8"/>
          <w:pgSz w:w="11906" w:h="16838"/>
          <w:pgMar w:top="992" w:right="851" w:bottom="851" w:left="1304" w:header="0" w:footer="113" w:gutter="0"/>
          <w:cols w:space="708"/>
          <w:rtlGutter/>
          <w:docGrid w:linePitch="360"/>
        </w:sectPr>
      </w:pPr>
      <w:bookmarkStart w:id="10" w:name="_Hlk429049860"/>
      <w:bookmarkStart w:id="11" w:name="_Hlk525233481"/>
    </w:p>
    <w:tbl>
      <w:tblPr>
        <w:tblW w:w="14346" w:type="dxa"/>
        <w:tblInd w:w="-3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tblPr>
      <w:tblGrid>
        <w:gridCol w:w="645"/>
        <w:gridCol w:w="6472"/>
        <w:gridCol w:w="2268"/>
        <w:gridCol w:w="709"/>
        <w:gridCol w:w="850"/>
        <w:gridCol w:w="709"/>
        <w:gridCol w:w="1134"/>
        <w:gridCol w:w="850"/>
        <w:gridCol w:w="709"/>
      </w:tblGrid>
      <w:tr w:rsidR="0081669C" w:rsidRPr="0090620B" w:rsidTr="00EB6C3C">
        <w:trPr>
          <w:trHeight w:val="660"/>
        </w:trPr>
        <w:tc>
          <w:tcPr>
            <w:tcW w:w="14346" w:type="dxa"/>
            <w:gridSpan w:val="9"/>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r w:rsidRPr="002426B7">
              <w:rPr>
                <w:b/>
                <w:color w:val="auto"/>
                <w:lang w:val="ru-RU"/>
              </w:rPr>
              <w:t xml:space="preserve">ОБЩИЕ ЦЕЛЕВЫЕ ПОКАЗАТЕЛИ И РЕЗУЛЬТАТЫ РЕАЛИЗАЦИИ КОРПОРАТИВНОЙ ПРОГРАММЫ </w:t>
            </w:r>
          </w:p>
        </w:tc>
      </w:tr>
      <w:tr w:rsidR="0081669C" w:rsidRPr="002426B7" w:rsidTr="009B734C">
        <w:trPr>
          <w:trHeight w:val="455"/>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jc w:val="center"/>
              <w:rPr>
                <w:b/>
                <w:color w:val="auto"/>
                <w:lang w:val="ru-RU"/>
              </w:rPr>
            </w:pPr>
            <w:r w:rsidRPr="002426B7">
              <w:rPr>
                <w:b/>
                <w:color w:val="auto"/>
                <w:lang w:val="ru-RU"/>
              </w:rPr>
              <w:t>1</w:t>
            </w:r>
          </w:p>
        </w:tc>
        <w:tc>
          <w:tcPr>
            <w:tcW w:w="6472"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jc w:val="center"/>
              <w:rPr>
                <w:b/>
                <w:color w:val="auto"/>
                <w:lang w:val="ru-RU"/>
              </w:rPr>
            </w:pPr>
            <w:bookmarkStart w:id="12" w:name="_Hlk525294320"/>
            <w:bookmarkStart w:id="13" w:name="_Hlk524865030"/>
            <w:r w:rsidRPr="002426B7">
              <w:rPr>
                <w:b/>
                <w:color w:val="auto"/>
                <w:lang w:val="ru-RU"/>
              </w:rPr>
              <w:t>ЦЕЛЕВЫЕ ПОКАЗАТЕЛИ И РЕЗУЛЬТАТЫ</w:t>
            </w:r>
            <w:r w:rsidRPr="002426B7">
              <w:rPr>
                <w:rStyle w:val="FootnoteReference"/>
                <w:b/>
                <w:color w:val="auto"/>
                <w:lang w:val="ru-RU"/>
              </w:rPr>
              <w:footnoteReference w:id="2"/>
            </w:r>
          </w:p>
        </w:tc>
        <w:tc>
          <w:tcPr>
            <w:tcW w:w="2268"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jc w:val="center"/>
              <w:rPr>
                <w:b/>
                <w:color w:val="auto"/>
                <w:lang w:val="ru-RU"/>
              </w:rPr>
            </w:pPr>
            <w:r w:rsidRPr="002426B7">
              <w:rPr>
                <w:b/>
                <w:color w:val="auto"/>
                <w:lang w:val="ru-RU"/>
              </w:rPr>
              <w:t>Единица измерения</w:t>
            </w:r>
          </w:p>
        </w:tc>
        <w:tc>
          <w:tcPr>
            <w:tcW w:w="709"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bookmarkStart w:id="14" w:name="_Hlk525294296"/>
            <w:r w:rsidRPr="002426B7">
              <w:rPr>
                <w:b/>
                <w:color w:val="auto"/>
                <w:lang w:val="ru-RU"/>
              </w:rPr>
              <w:t>2019</w:t>
            </w:r>
            <w:bookmarkEnd w:id="14"/>
          </w:p>
        </w:tc>
        <w:tc>
          <w:tcPr>
            <w:tcW w:w="850"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r w:rsidRPr="002426B7">
              <w:rPr>
                <w:b/>
                <w:color w:val="auto"/>
                <w:lang w:val="ru-RU"/>
              </w:rPr>
              <w:t>2020</w:t>
            </w:r>
          </w:p>
        </w:tc>
        <w:tc>
          <w:tcPr>
            <w:tcW w:w="709" w:type="dxa"/>
            <w:tcBorders>
              <w:top w:val="single" w:sz="4" w:space="0" w:color="002060"/>
              <w:left w:val="single" w:sz="4" w:space="0" w:color="002060"/>
              <w:bottom w:val="single" w:sz="4" w:space="0" w:color="002060"/>
              <w:right w:val="single" w:sz="6"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r w:rsidRPr="002426B7">
              <w:rPr>
                <w:b/>
                <w:color w:val="auto"/>
                <w:lang w:val="ru-RU"/>
              </w:rPr>
              <w:t>2021</w:t>
            </w:r>
          </w:p>
        </w:tc>
        <w:tc>
          <w:tcPr>
            <w:tcW w:w="1134" w:type="dxa"/>
            <w:tcBorders>
              <w:top w:val="single" w:sz="4" w:space="0" w:color="002060"/>
              <w:left w:val="single" w:sz="6"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r w:rsidRPr="002426B7">
              <w:rPr>
                <w:b/>
                <w:color w:val="auto"/>
                <w:lang w:val="ru-RU"/>
              </w:rPr>
              <w:t>2022</w:t>
            </w:r>
          </w:p>
        </w:tc>
        <w:tc>
          <w:tcPr>
            <w:tcW w:w="850"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r w:rsidRPr="002426B7">
              <w:rPr>
                <w:b/>
                <w:color w:val="auto"/>
                <w:lang w:val="ru-RU"/>
              </w:rPr>
              <w:t>2023</w:t>
            </w:r>
          </w:p>
        </w:tc>
        <w:tc>
          <w:tcPr>
            <w:tcW w:w="709"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jc w:val="center"/>
              <w:rPr>
                <w:b/>
                <w:color w:val="auto"/>
                <w:lang w:val="ru-RU"/>
              </w:rPr>
            </w:pPr>
            <w:r w:rsidRPr="002426B7">
              <w:rPr>
                <w:b/>
                <w:color w:val="auto"/>
                <w:lang w:val="ru-RU"/>
              </w:rPr>
              <w:t>2024</w:t>
            </w:r>
          </w:p>
        </w:tc>
      </w:tr>
      <w:bookmarkEnd w:id="12"/>
      <w:bookmarkEnd w:id="13"/>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lang w:val="ru-RU"/>
              </w:rPr>
            </w:pPr>
            <w:r w:rsidRPr="002426B7">
              <w:rPr>
                <w:color w:val="auto"/>
                <w:lang w:val="ru-RU"/>
              </w:rPr>
              <w:t>1.1</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color w:val="auto"/>
                <w:lang w:val="ru-RU"/>
              </w:rPr>
            </w:pPr>
            <w:r w:rsidRPr="002426B7">
              <w:rPr>
                <w:color w:val="auto"/>
                <w:lang w:val="ru-RU"/>
              </w:rPr>
              <w:t>Общий объем реализации продукции и услуг в рамках Корпоративной программы</w:t>
            </w:r>
            <w:r w:rsidRPr="002426B7">
              <w:rPr>
                <w:rStyle w:val="FootnoteReference"/>
                <w:color w:val="auto"/>
                <w:lang w:val="ru-RU"/>
              </w:rPr>
              <w:footnoteReference w:id="3"/>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млн долл. США</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lang w:val="ru-RU"/>
              </w:rPr>
            </w:pPr>
            <w:r w:rsidRPr="002426B7">
              <w:rPr>
                <w:color w:val="auto"/>
                <w:lang w:val="ru-RU"/>
              </w:rPr>
              <w:t>1.2</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color w:val="auto"/>
                <w:lang w:val="ru-RU"/>
              </w:rPr>
            </w:pPr>
            <w:r w:rsidRPr="002426B7">
              <w:rPr>
                <w:color w:val="auto"/>
                <w:lang w:val="ru-RU"/>
              </w:rPr>
              <w:t>Увеличение объема производства (или объема предоставляемых услуг) в рамках реализации Корпоративной программы (относительно предшествующего периода)</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млн долл. США</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lang w:val="ru-RU"/>
              </w:rPr>
            </w:pPr>
            <w:r w:rsidRPr="002426B7">
              <w:rPr>
                <w:color w:val="auto"/>
                <w:lang w:val="ru-RU"/>
              </w:rPr>
              <w:t>1.3</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rPr>
                <w:color w:val="auto"/>
                <w:lang w:val="ru-RU"/>
              </w:rPr>
            </w:pPr>
            <w:r w:rsidRPr="002426B7">
              <w:rPr>
                <w:color w:val="auto"/>
                <w:lang w:val="ru-RU"/>
              </w:rPr>
              <w:t>Общий объем экспорта продукции и услуг в рамках Корпоративной программы</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млн долл. США</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lang w:val="ru-RU"/>
              </w:rPr>
            </w:pPr>
            <w:r w:rsidRPr="002426B7">
              <w:rPr>
                <w:color w:val="auto"/>
                <w:lang w:val="ru-RU"/>
              </w:rPr>
              <w:t>1.4</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rPr>
                <w:color w:val="auto"/>
                <w:lang w:val="ru-RU"/>
              </w:rPr>
            </w:pPr>
            <w:r w:rsidRPr="002426B7">
              <w:rPr>
                <w:color w:val="auto"/>
                <w:lang w:val="ru-RU"/>
              </w:rPr>
              <w:t>Совокупный прирост экспорта (относительно предшествующего периода)</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млн долл. США</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lang w:val="ru-RU"/>
              </w:rPr>
            </w:pPr>
            <w:r w:rsidRPr="002426B7">
              <w:rPr>
                <w:color w:val="auto"/>
                <w:lang w:val="ru-RU"/>
              </w:rPr>
              <w:t>1.5</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9B734C">
            <w:pPr>
              <w:pBdr>
                <w:top w:val="none" w:sz="0" w:space="0" w:color="auto"/>
                <w:left w:val="none" w:sz="0" w:space="0" w:color="auto"/>
                <w:bottom w:val="none" w:sz="0" w:space="0" w:color="auto"/>
                <w:right w:val="none" w:sz="0" w:space="0" w:color="auto"/>
                <w:bar w:val="none" w:sz="0" w:color="auto"/>
              </w:pBdr>
              <w:tabs>
                <w:tab w:val="left" w:pos="1107"/>
              </w:tabs>
              <w:spacing w:before="120"/>
              <w:rPr>
                <w:color w:val="auto"/>
                <w:lang w:val="ru-RU"/>
              </w:rPr>
            </w:pPr>
            <w:r>
              <w:rPr>
                <w:color w:val="auto"/>
                <w:lang w:val="ru-RU"/>
              </w:rPr>
              <w:t>П</w:t>
            </w:r>
            <w:r w:rsidRPr="002426B7">
              <w:rPr>
                <w:color w:val="auto"/>
                <w:lang w:val="ru-RU"/>
              </w:rPr>
              <w:t>рирост экспорта в объеме производства (в объема предоставляемых услуг)</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млн долл. США</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9B734C">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lang w:val="ru-RU"/>
              </w:rPr>
            </w:pPr>
            <w:r w:rsidRPr="002426B7">
              <w:rPr>
                <w:color w:val="auto"/>
                <w:lang w:val="ru-RU"/>
              </w:rPr>
              <w:t>1.</w:t>
            </w:r>
            <w:r>
              <w:rPr>
                <w:color w:val="auto"/>
                <w:lang w:val="ru-RU"/>
              </w:rPr>
              <w:t>6</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rPr>
                <w:color w:val="auto"/>
                <w:lang w:val="ru-RU"/>
              </w:rPr>
            </w:pPr>
            <w:r w:rsidRPr="002426B7">
              <w:rPr>
                <w:color w:val="auto"/>
                <w:lang w:val="ru-RU"/>
              </w:rPr>
              <w:t>Количество новых производственных площадок и/или инфраструктурных объектов в рамках реализации Корпоративной программы</w:t>
            </w: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rPr>
                <w:color w:val="auto"/>
                <w:lang w:val="ru-RU"/>
              </w:rPr>
            </w:pPr>
            <w:r w:rsidRPr="002426B7">
              <w:rPr>
                <w:i/>
                <w:color w:val="auto"/>
                <w:lang w:val="ru-RU"/>
              </w:rPr>
              <w:t>в случае реализации инвестиционных проектов</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шт.</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rPr>
            </w:pPr>
            <w:r w:rsidRPr="002426B7">
              <w:rPr>
                <w:color w:val="auto"/>
                <w:lang w:val="ru-RU"/>
              </w:rPr>
              <w:t>…</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rPr>
                <w:color w:val="auto"/>
                <w:lang w:val="ru-RU"/>
              </w:rPr>
            </w:pPr>
            <w:r w:rsidRPr="002426B7">
              <w:rPr>
                <w:color w:val="auto"/>
                <w:lang w:val="ru-RU"/>
              </w:rPr>
              <w:t>…</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481"/>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rPr>
            </w:pPr>
            <w:r w:rsidRPr="002426B7">
              <w:rPr>
                <w:color w:val="auto"/>
                <w:lang w:val="ru-RU"/>
              </w:rPr>
              <w:t>…</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rPr>
                <w:color w:val="auto"/>
                <w:lang w:val="ru-RU"/>
              </w:rPr>
            </w:pPr>
            <w:r w:rsidRPr="002426B7">
              <w:rPr>
                <w:color w:val="auto"/>
                <w:lang w:val="ru-RU"/>
              </w:rPr>
              <w:t>Объем субсидии</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b/>
                <w:color w:val="auto"/>
                <w:lang w:val="ru-RU"/>
              </w:rPr>
            </w:pPr>
            <w:r w:rsidRPr="002426B7">
              <w:rPr>
                <w:color w:val="auto"/>
                <w:lang w:val="ru-RU"/>
              </w:rPr>
              <w:t>млн руб.</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color w:val="auto"/>
              </w:rPr>
            </w:pPr>
            <w:r w:rsidRPr="002426B7">
              <w:rPr>
                <w:color w:val="auto"/>
                <w:lang w:val="ru-RU"/>
              </w:rPr>
              <w:t>1.</w:t>
            </w:r>
            <w:r w:rsidRPr="002426B7">
              <w:rPr>
                <w:color w:val="auto"/>
              </w:rPr>
              <w:t>N</w:t>
            </w:r>
          </w:p>
        </w:tc>
        <w:tc>
          <w:tcPr>
            <w:tcW w:w="6472"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rPr>
                <w:color w:val="auto"/>
                <w:lang w:val="ru-RU"/>
              </w:rPr>
            </w:pPr>
            <w:r w:rsidRPr="002426B7">
              <w:rPr>
                <w:color w:val="auto"/>
                <w:lang w:val="ru-RU"/>
              </w:rPr>
              <w:t>Результативность на 1 рубль поддержки (относительно ключевого показателя – базы расчета результативности)</w:t>
            </w:r>
          </w:p>
        </w:tc>
        <w:tc>
          <w:tcPr>
            <w:tcW w:w="2268"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color w:val="auto"/>
                <w:lang w:val="ru-RU"/>
              </w:rPr>
              <w:t>%</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EB6C3C">
        <w:trPr>
          <w:trHeight w:val="61"/>
        </w:trPr>
        <w:tc>
          <w:tcPr>
            <w:tcW w:w="14346" w:type="dxa"/>
            <w:gridSpan w:val="9"/>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sz w:val="4"/>
                <w:szCs w:val="4"/>
                <w:lang w:val="ru-RU"/>
              </w:rPr>
            </w:pPr>
          </w:p>
        </w:tc>
      </w:tr>
      <w:tr w:rsidR="0081669C" w:rsidRPr="002426B7" w:rsidTr="00EB6C3C">
        <w:trPr>
          <w:trHeight w:val="61"/>
        </w:trPr>
        <w:tc>
          <w:tcPr>
            <w:tcW w:w="14346" w:type="dxa"/>
            <w:gridSpan w:val="9"/>
            <w:tcBorders>
              <w:top w:val="single" w:sz="4" w:space="0" w:color="002060"/>
              <w:left w:val="single" w:sz="4" w:space="0" w:color="002060"/>
              <w:bottom w:val="single" w:sz="4" w:space="0" w:color="002060"/>
              <w:right w:val="single" w:sz="4" w:space="0" w:color="002060"/>
            </w:tcBorders>
          </w:tcPr>
          <w:p w:rsidR="0081669C"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sz w:val="4"/>
                <w:szCs w:val="4"/>
                <w:lang w:val="ru-RU"/>
              </w:rPr>
            </w:pPr>
          </w:p>
          <w:p w:rsidR="0081669C"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sz w:val="4"/>
                <w:szCs w:val="4"/>
                <w:lang w:val="ru-RU"/>
              </w:rPr>
            </w:pPr>
          </w:p>
          <w:p w:rsidR="0081669C"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sz w:val="4"/>
                <w:szCs w:val="4"/>
                <w:lang w:val="ru-RU"/>
              </w:rPr>
            </w:pPr>
          </w:p>
          <w:p w:rsidR="0081669C"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sz w:val="4"/>
                <w:szCs w:val="4"/>
                <w:lang w:val="ru-RU"/>
              </w:rPr>
            </w:pPr>
          </w:p>
          <w:p w:rsidR="0081669C"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sz w:val="4"/>
                <w:szCs w:val="4"/>
                <w:lang w:val="ru-RU"/>
              </w:rPr>
            </w:pP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sz w:val="4"/>
                <w:szCs w:val="4"/>
                <w:lang w:val="ru-RU"/>
              </w:rPr>
            </w:pPr>
          </w:p>
        </w:tc>
      </w:tr>
      <w:tr w:rsidR="0081669C" w:rsidRPr="0090620B" w:rsidTr="009B734C">
        <w:trPr>
          <w:trHeight w:val="264"/>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b/>
                <w:color w:val="auto"/>
                <w:lang w:val="ru-RU"/>
              </w:rPr>
            </w:pPr>
            <w:r w:rsidRPr="002426B7">
              <w:rPr>
                <w:b/>
                <w:color w:val="auto"/>
                <w:lang w:val="ru-RU"/>
              </w:rPr>
              <w:t>2</w:t>
            </w:r>
          </w:p>
        </w:tc>
        <w:tc>
          <w:tcPr>
            <w:tcW w:w="8740" w:type="dxa"/>
            <w:gridSpan w:val="2"/>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jc w:val="center"/>
              <w:rPr>
                <w:color w:val="auto"/>
                <w:lang w:val="ru-RU"/>
              </w:rPr>
            </w:pPr>
            <w:r w:rsidRPr="002426B7">
              <w:rPr>
                <w:b/>
                <w:color w:val="auto"/>
                <w:lang w:val="ru-RU"/>
              </w:rPr>
              <w:t>МЕРОПРИЯТИЯ ПО ДОСТИЖЕНИЮ КОНКУРЕНТОСПОСОБНОСТИ ПРОДУКЦИИ</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b/>
                <w:color w:val="auto"/>
                <w:lang w:val="ru-RU"/>
              </w:rPr>
            </w:pPr>
            <w:r w:rsidRPr="002426B7">
              <w:rPr>
                <w:b/>
                <w:color w:val="auto"/>
                <w:lang w:val="ru-RU"/>
              </w:rPr>
              <w:t>2.1</w:t>
            </w:r>
          </w:p>
        </w:tc>
        <w:tc>
          <w:tcPr>
            <w:tcW w:w="8740" w:type="dxa"/>
            <w:gridSpan w:val="2"/>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color w:val="auto"/>
                <w:lang w:val="ru-RU"/>
              </w:rPr>
            </w:pPr>
            <w:r w:rsidRPr="002426B7">
              <w:rPr>
                <w:color w:val="auto"/>
                <w:lang w:val="ru-RU"/>
              </w:rPr>
              <w:t>Принято инвестиционное/финансовое решение по реализации проекта</w:t>
            </w:r>
            <w:r w:rsidRPr="002426B7">
              <w:rPr>
                <w:rStyle w:val="FootnoteReference"/>
                <w:color w:val="auto"/>
                <w:lang w:val="ru-RU"/>
              </w:rPr>
              <w:footnoteReference w:id="4"/>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b/>
                <w:color w:val="auto"/>
                <w:lang w:val="ru-RU"/>
              </w:rPr>
            </w:pPr>
            <w:r w:rsidRPr="002426B7">
              <w:rPr>
                <w:b/>
                <w:color w:val="auto"/>
                <w:lang w:val="ru-RU"/>
              </w:rPr>
              <w:t>2.2</w:t>
            </w:r>
          </w:p>
        </w:tc>
        <w:tc>
          <w:tcPr>
            <w:tcW w:w="8740" w:type="dxa"/>
            <w:gridSpan w:val="2"/>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color w:val="auto"/>
                <w:lang w:val="ru-RU"/>
              </w:rPr>
            </w:pPr>
            <w:r w:rsidRPr="002426B7">
              <w:rPr>
                <w:color w:val="auto"/>
                <w:lang w:val="ru-RU"/>
              </w:rPr>
              <w:t>Получено разрешение на строительство объекта производства (если необходимо)</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b/>
                <w:color w:val="auto"/>
                <w:lang w:val="ru-RU"/>
              </w:rPr>
            </w:pPr>
            <w:r w:rsidRPr="002426B7">
              <w:rPr>
                <w:b/>
                <w:color w:val="auto"/>
                <w:lang w:val="ru-RU"/>
              </w:rPr>
              <w:t>2.3</w:t>
            </w:r>
          </w:p>
        </w:tc>
        <w:tc>
          <w:tcPr>
            <w:tcW w:w="8740" w:type="dxa"/>
            <w:gridSpan w:val="2"/>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color w:val="auto"/>
                <w:lang w:val="ru-RU"/>
              </w:rPr>
            </w:pPr>
            <w:r w:rsidRPr="002426B7">
              <w:rPr>
                <w:color w:val="auto"/>
                <w:lang w:val="ru-RU"/>
              </w:rPr>
              <w:t>Объект производства введен в эксплуатацию</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b/>
                <w:color w:val="auto"/>
                <w:lang w:val="ru-RU"/>
              </w:rPr>
            </w:pPr>
            <w:r w:rsidRPr="002426B7">
              <w:rPr>
                <w:b/>
                <w:color w:val="auto"/>
                <w:lang w:val="ru-RU"/>
              </w:rPr>
              <w:t>2.4</w:t>
            </w:r>
          </w:p>
        </w:tc>
        <w:tc>
          <w:tcPr>
            <w:tcW w:w="8740" w:type="dxa"/>
            <w:gridSpan w:val="2"/>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color w:val="auto"/>
                <w:lang w:val="ru-RU"/>
              </w:rPr>
            </w:pPr>
            <w:r w:rsidRPr="002426B7">
              <w:rPr>
                <w:color w:val="auto"/>
                <w:lang w:val="ru-RU"/>
              </w:rPr>
              <w:t>Получены необходимые разрешения/лицензии/сертификаты/ регистрационные удостоверения, позволяющие производить и реализовывать (в т.ч. на внешних рынках)  продукцию, в соответствии с корпоративной программой (при необходимости)</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b/>
                <w:color w:val="auto"/>
                <w:lang w:val="ru-RU"/>
              </w:rPr>
            </w:pPr>
            <w:r w:rsidRPr="002426B7">
              <w:rPr>
                <w:b/>
                <w:color w:val="auto"/>
                <w:lang w:val="ru-RU"/>
              </w:rPr>
              <w:t>…</w:t>
            </w:r>
          </w:p>
        </w:tc>
        <w:tc>
          <w:tcPr>
            <w:tcW w:w="8740" w:type="dxa"/>
            <w:gridSpan w:val="2"/>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color w:val="auto"/>
                <w:lang w:val="ru-RU"/>
              </w:rPr>
            </w:pPr>
            <w:r w:rsidRPr="002426B7">
              <w:rPr>
                <w:color w:val="auto"/>
                <w:lang w:val="ru-RU"/>
              </w:rPr>
              <w:t>…</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r>
      <w:tr w:rsidR="0081669C" w:rsidRPr="002426B7" w:rsidTr="009B734C">
        <w:trPr>
          <w:trHeight w:val="264"/>
        </w:trPr>
        <w:tc>
          <w:tcPr>
            <w:tcW w:w="645" w:type="dxa"/>
            <w:tcBorders>
              <w:top w:val="single" w:sz="4" w:space="0" w:color="002060"/>
              <w:left w:val="single" w:sz="4" w:space="0" w:color="002060"/>
              <w:bottom w:val="single" w:sz="4" w:space="0" w:color="002060"/>
              <w:right w:val="single" w:sz="4" w:space="0" w:color="002060"/>
            </w:tcBorders>
            <w:vAlign w:val="center"/>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left" w:pos="1107"/>
              </w:tabs>
              <w:spacing w:before="120"/>
              <w:jc w:val="center"/>
              <w:rPr>
                <w:b/>
                <w:color w:val="auto"/>
              </w:rPr>
            </w:pPr>
            <w:r w:rsidRPr="002426B7">
              <w:rPr>
                <w:b/>
                <w:color w:val="auto"/>
                <w:lang w:val="ru-RU"/>
              </w:rPr>
              <w:t>2.</w:t>
            </w:r>
            <w:r w:rsidRPr="002426B7">
              <w:rPr>
                <w:b/>
                <w:color w:val="auto"/>
              </w:rPr>
              <w:t>N</w:t>
            </w:r>
          </w:p>
        </w:tc>
        <w:tc>
          <w:tcPr>
            <w:tcW w:w="8740" w:type="dxa"/>
            <w:gridSpan w:val="2"/>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tabs>
                <w:tab w:val="right" w:leader="underscore" w:pos="5400"/>
                <w:tab w:val="left" w:pos="5580"/>
                <w:tab w:val="right" w:leader="underscore" w:pos="10800"/>
              </w:tabs>
              <w:spacing w:before="120"/>
              <w:rPr>
                <w:color w:val="auto"/>
                <w:lang w:val="ru-RU"/>
              </w:rPr>
            </w:pPr>
            <w:r w:rsidRPr="002426B7">
              <w:rPr>
                <w:color w:val="auto"/>
                <w:lang w:val="ru-RU"/>
              </w:rPr>
              <w:t>Мониторинг количественных показателей по объемам реализации, в соответствии с корпоративной программой.</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lang w:val="ru-RU"/>
              </w:rPr>
            </w:pPr>
          </w:p>
        </w:tc>
        <w:tc>
          <w:tcPr>
            <w:tcW w:w="709" w:type="dxa"/>
            <w:tcBorders>
              <w:top w:val="single" w:sz="4" w:space="0" w:color="002060"/>
              <w:left w:val="single" w:sz="4" w:space="0" w:color="002060"/>
              <w:bottom w:val="single" w:sz="4" w:space="0" w:color="002060"/>
              <w:right w:val="single" w:sz="6"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c>
          <w:tcPr>
            <w:tcW w:w="1134" w:type="dxa"/>
            <w:tcBorders>
              <w:top w:val="single" w:sz="4" w:space="0" w:color="002060"/>
              <w:left w:val="single" w:sz="6"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c>
          <w:tcPr>
            <w:tcW w:w="850"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c>
          <w:tcPr>
            <w:tcW w:w="709" w:type="dxa"/>
            <w:tcBorders>
              <w:top w:val="single" w:sz="4" w:space="0" w:color="002060"/>
              <w:left w:val="single" w:sz="4" w:space="0" w:color="002060"/>
              <w:bottom w:val="single" w:sz="4" w:space="0" w:color="002060"/>
              <w:right w:val="single" w:sz="4" w:space="0" w:color="002060"/>
            </w:tcBorders>
          </w:tcPr>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before="120"/>
              <w:jc w:val="center"/>
              <w:rPr>
                <w:color w:val="auto"/>
              </w:rPr>
            </w:pPr>
            <w:r w:rsidRPr="002426B7">
              <w:rPr>
                <w:color w:val="auto"/>
              </w:rPr>
              <w:t>X</w:t>
            </w:r>
          </w:p>
        </w:tc>
      </w:tr>
    </w:tbl>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color w:val="auto"/>
          <w:lang w:val="ru-RU"/>
        </w:rPr>
      </w:pPr>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color w:val="auto"/>
          <w:lang w:val="ru-RU"/>
        </w:rPr>
      </w:pPr>
      <w:bookmarkStart w:id="15" w:name="_Hlk525298279"/>
      <w:bookmarkEnd w:id="9"/>
      <w:bookmarkEnd w:id="10"/>
      <w:bookmarkEnd w:id="11"/>
    </w:p>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color w:val="auto"/>
          <w:lang w:val="ru-RU"/>
        </w:rPr>
      </w:pPr>
    </w:p>
    <w:tbl>
      <w:tblPr>
        <w:tblW w:w="0" w:type="auto"/>
        <w:tblLook w:val="00A0"/>
      </w:tblPr>
      <w:tblGrid>
        <w:gridCol w:w="4219"/>
        <w:gridCol w:w="2425"/>
        <w:gridCol w:w="4838"/>
      </w:tblGrid>
      <w:tr w:rsidR="0081669C" w:rsidRPr="002426B7" w:rsidTr="00EC0B60">
        <w:tc>
          <w:tcPr>
            <w:tcW w:w="4219" w:type="dxa"/>
          </w:tcPr>
          <w:bookmarkEnd w:id="15"/>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color w:val="auto"/>
                <w:sz w:val="22"/>
                <w:szCs w:val="22"/>
                <w:lang w:val="ru-RU"/>
              </w:rPr>
            </w:pPr>
            <w:r w:rsidRPr="00EC0B60">
              <w:rPr>
                <w:color w:val="auto"/>
                <w:sz w:val="22"/>
                <w:szCs w:val="22"/>
                <w:lang w:val="ru-RU"/>
              </w:rPr>
              <w:t>Должность руководителя</w:t>
            </w:r>
          </w:p>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color w:val="auto"/>
                <w:sz w:val="22"/>
                <w:szCs w:val="22"/>
                <w:lang w:val="ru-RU"/>
              </w:rPr>
            </w:pPr>
            <w:r w:rsidRPr="00EC0B60">
              <w:rPr>
                <w:color w:val="auto"/>
                <w:sz w:val="22"/>
                <w:szCs w:val="22"/>
                <w:lang w:val="ru-RU"/>
              </w:rPr>
              <w:t>организации</w:t>
            </w:r>
          </w:p>
        </w:tc>
        <w:tc>
          <w:tcPr>
            <w:tcW w:w="2425"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color w:val="auto"/>
                <w:sz w:val="22"/>
                <w:szCs w:val="22"/>
                <w:lang w:val="ru-RU"/>
              </w:rPr>
            </w:pPr>
            <w:r w:rsidRPr="00EC0B60">
              <w:rPr>
                <w:color w:val="auto"/>
                <w:sz w:val="22"/>
                <w:szCs w:val="22"/>
                <w:lang w:val="ru-RU"/>
              </w:rPr>
              <w:t>ФИО</w:t>
            </w:r>
          </w:p>
        </w:tc>
        <w:tc>
          <w:tcPr>
            <w:tcW w:w="4838"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jc w:val="right"/>
              <w:rPr>
                <w:color w:val="auto"/>
                <w:sz w:val="22"/>
                <w:szCs w:val="22"/>
                <w:lang w:val="ru-RU"/>
              </w:rPr>
            </w:pPr>
          </w:p>
        </w:tc>
      </w:tr>
      <w:tr w:rsidR="0081669C" w:rsidRPr="002426B7" w:rsidTr="00EC0B60">
        <w:tc>
          <w:tcPr>
            <w:tcW w:w="4219"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color w:val="auto"/>
                <w:sz w:val="22"/>
                <w:szCs w:val="22"/>
                <w:lang w:val="ru-RU"/>
              </w:rPr>
            </w:pPr>
          </w:p>
        </w:tc>
        <w:tc>
          <w:tcPr>
            <w:tcW w:w="2425"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color w:val="auto"/>
                <w:sz w:val="22"/>
                <w:szCs w:val="22"/>
                <w:lang w:val="ru-RU"/>
              </w:rPr>
            </w:pPr>
            <w:r w:rsidRPr="00EC0B60">
              <w:rPr>
                <w:color w:val="auto"/>
                <w:sz w:val="22"/>
                <w:szCs w:val="22"/>
                <w:lang w:val="ru-RU"/>
              </w:rPr>
              <w:t>[подпись]</w:t>
            </w:r>
          </w:p>
        </w:tc>
        <w:tc>
          <w:tcPr>
            <w:tcW w:w="4838"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jc w:val="center"/>
              <w:rPr>
                <w:color w:val="auto"/>
                <w:sz w:val="22"/>
                <w:szCs w:val="22"/>
                <w:lang w:val="ru-RU"/>
              </w:rPr>
            </w:pPr>
          </w:p>
        </w:tc>
      </w:tr>
      <w:tr w:rsidR="0081669C" w:rsidRPr="002426B7" w:rsidTr="00EC0B60">
        <w:tc>
          <w:tcPr>
            <w:tcW w:w="4219"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b/>
                <w:color w:val="auto"/>
                <w:sz w:val="22"/>
                <w:szCs w:val="22"/>
                <w:lang w:val="ru-RU"/>
              </w:rPr>
            </w:pPr>
          </w:p>
        </w:tc>
        <w:tc>
          <w:tcPr>
            <w:tcW w:w="2425"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color w:val="auto"/>
                <w:sz w:val="22"/>
                <w:szCs w:val="22"/>
                <w:lang w:val="ru-RU"/>
              </w:rPr>
            </w:pPr>
            <w:r w:rsidRPr="00EC0B60">
              <w:rPr>
                <w:color w:val="auto"/>
                <w:sz w:val="22"/>
                <w:szCs w:val="22"/>
                <w:lang w:val="ru-RU"/>
              </w:rPr>
              <w:t>[дата]</w:t>
            </w:r>
          </w:p>
        </w:tc>
        <w:tc>
          <w:tcPr>
            <w:tcW w:w="4838"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jc w:val="center"/>
              <w:rPr>
                <w:color w:val="auto"/>
                <w:sz w:val="22"/>
                <w:szCs w:val="22"/>
                <w:lang w:val="ru-RU"/>
              </w:rPr>
            </w:pPr>
          </w:p>
        </w:tc>
      </w:tr>
      <w:tr w:rsidR="0081669C" w:rsidRPr="002426B7" w:rsidTr="00EC0B60">
        <w:tc>
          <w:tcPr>
            <w:tcW w:w="4219"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b/>
                <w:color w:val="auto"/>
                <w:sz w:val="22"/>
                <w:szCs w:val="22"/>
                <w:lang w:val="ru-RU"/>
              </w:rPr>
            </w:pPr>
          </w:p>
        </w:tc>
        <w:tc>
          <w:tcPr>
            <w:tcW w:w="2425"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jc w:val="center"/>
              <w:rPr>
                <w:color w:val="auto"/>
                <w:sz w:val="22"/>
                <w:szCs w:val="22"/>
                <w:lang w:val="ru-RU"/>
              </w:rPr>
            </w:pPr>
          </w:p>
        </w:tc>
        <w:tc>
          <w:tcPr>
            <w:tcW w:w="4838" w:type="dxa"/>
          </w:tcPr>
          <w:p w:rsidR="0081669C" w:rsidRPr="00EC0B60" w:rsidRDefault="0081669C" w:rsidP="00EC0B60">
            <w:pPr>
              <w:pBdr>
                <w:top w:val="none" w:sz="0" w:space="0" w:color="auto"/>
                <w:left w:val="none" w:sz="0" w:space="0" w:color="auto"/>
                <w:bottom w:val="none" w:sz="0" w:space="0" w:color="auto"/>
                <w:right w:val="none" w:sz="0" w:space="0" w:color="auto"/>
                <w:bar w:val="none" w:sz="0" w:color="auto"/>
              </w:pBdr>
              <w:spacing w:line="360" w:lineRule="auto"/>
              <w:rPr>
                <w:b/>
                <w:color w:val="auto"/>
                <w:sz w:val="22"/>
                <w:szCs w:val="22"/>
                <w:lang w:val="ru-RU"/>
              </w:rPr>
            </w:pPr>
          </w:p>
        </w:tc>
      </w:tr>
    </w:tbl>
    <w:p w:rsidR="0081669C" w:rsidRPr="002426B7"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b/>
          <w:color w:val="auto"/>
          <w:lang w:val="ru-RU"/>
        </w:rPr>
      </w:pPr>
      <w:r w:rsidRPr="002426B7">
        <w:rPr>
          <w:b/>
          <w:color w:val="auto"/>
          <w:lang w:val="ru-RU"/>
        </w:rPr>
        <w:br w:type="page"/>
      </w:r>
    </w:p>
    <w:p w:rsidR="0081669C" w:rsidRDefault="0081669C" w:rsidP="00676819">
      <w:pPr>
        <w:pBdr>
          <w:top w:val="none" w:sz="0" w:space="0" w:color="auto"/>
          <w:left w:val="none" w:sz="0" w:space="0" w:color="auto"/>
          <w:bottom w:val="none" w:sz="0" w:space="0" w:color="auto"/>
          <w:right w:val="none" w:sz="0" w:space="0" w:color="auto"/>
          <w:bar w:val="none" w:sz="0" w:color="auto"/>
        </w:pBdr>
        <w:spacing w:line="360" w:lineRule="auto"/>
        <w:rPr>
          <w:color w:val="auto"/>
          <w:lang w:val="ru-RU"/>
        </w:rPr>
        <w:sectPr w:rsidR="0081669C" w:rsidSect="00AE13ED">
          <w:pgSz w:w="16840" w:h="11900" w:orient="landscape"/>
          <w:pgMar w:top="1134" w:right="1134" w:bottom="567" w:left="1134" w:header="709" w:footer="709" w:gutter="0"/>
          <w:pgNumType w:start="1"/>
          <w:cols w:space="720"/>
          <w:titlePg/>
          <w:rtlGutter/>
          <w:docGrid w:linePitch="326"/>
        </w:sectPr>
      </w:pPr>
    </w:p>
    <w:p w:rsidR="0081669C" w:rsidRPr="00311238" w:rsidRDefault="0081669C" w:rsidP="00775A41">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outlineLvl w:val="0"/>
        <w:rPr>
          <w:rFonts w:ascii="Times New Roman" w:hAnsi="Times New Roman" w:cs="Times New Roman"/>
          <w:color w:val="auto"/>
        </w:rPr>
      </w:pPr>
      <w:r w:rsidRPr="00311238">
        <w:rPr>
          <w:rFonts w:ascii="Times New Roman" w:hAnsi="Times New Roman"/>
          <w:color w:val="auto"/>
        </w:rPr>
        <w:t>Утверждено</w:t>
      </w:r>
    </w:p>
    <w:p w:rsidR="0081669C" w:rsidRPr="00311238" w:rsidRDefault="0081669C" w:rsidP="00775A41">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rPr>
          <w:rFonts w:ascii="Times New Roman" w:hAnsi="Times New Roman" w:cs="Times New Roman"/>
          <w:color w:val="auto"/>
        </w:rPr>
      </w:pPr>
      <w:r w:rsidRPr="00311238">
        <w:rPr>
          <w:rFonts w:ascii="Times New Roman" w:hAnsi="Times New Roman"/>
          <w:color w:val="auto"/>
        </w:rPr>
        <w:t>постановлением Правительства</w:t>
      </w:r>
    </w:p>
    <w:p w:rsidR="0081669C" w:rsidRPr="00311238" w:rsidRDefault="0081669C" w:rsidP="00775A41">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rPr>
          <w:rFonts w:ascii="Times New Roman" w:hAnsi="Times New Roman" w:cs="Times New Roman"/>
          <w:color w:val="auto"/>
        </w:rPr>
      </w:pPr>
      <w:r w:rsidRPr="00311238">
        <w:rPr>
          <w:rFonts w:ascii="Times New Roman" w:hAnsi="Times New Roman"/>
          <w:color w:val="auto"/>
        </w:rPr>
        <w:t>Российской Федерации</w:t>
      </w:r>
    </w:p>
    <w:p w:rsidR="0081669C" w:rsidRPr="00311238" w:rsidRDefault="0081669C" w:rsidP="00775A41">
      <w:pPr>
        <w:pStyle w:val="ConsPlusNormal"/>
        <w:pBdr>
          <w:top w:val="none" w:sz="0" w:space="0" w:color="auto"/>
          <w:left w:val="none" w:sz="0" w:space="0" w:color="auto"/>
          <w:bottom w:val="none" w:sz="0" w:space="0" w:color="auto"/>
          <w:right w:val="none" w:sz="0" w:space="0" w:color="auto"/>
          <w:bar w:val="none" w:sz="0" w:color="auto"/>
        </w:pBdr>
        <w:spacing w:after="0" w:line="240" w:lineRule="auto"/>
        <w:ind w:left="5812"/>
        <w:jc w:val="center"/>
        <w:rPr>
          <w:rFonts w:ascii="Times New Roman" w:hAnsi="Times New Roman" w:cs="Times New Roman"/>
          <w:color w:val="auto"/>
        </w:rPr>
      </w:pPr>
      <w:r w:rsidRPr="00311238">
        <w:rPr>
          <w:rFonts w:ascii="Times New Roman" w:hAnsi="Times New Roman"/>
          <w:color w:val="auto"/>
        </w:rPr>
        <w:t>от _____ г. № _____________</w:t>
      </w:r>
    </w:p>
    <w:p w:rsidR="0081669C" w:rsidRPr="00311238" w:rsidRDefault="0081669C" w:rsidP="00775A41">
      <w:pPr>
        <w:pBdr>
          <w:top w:val="none" w:sz="0" w:space="0" w:color="auto"/>
          <w:left w:val="none" w:sz="0" w:space="0" w:color="auto"/>
          <w:bottom w:val="none" w:sz="0" w:space="0" w:color="auto"/>
          <w:right w:val="none" w:sz="0" w:space="0" w:color="auto"/>
          <w:bar w:val="none" w:sz="0" w:color="auto"/>
        </w:pBdr>
        <w:spacing w:line="360" w:lineRule="auto"/>
        <w:ind w:left="5103"/>
        <w:rPr>
          <w:rFonts w:cs="Calibri"/>
          <w:color w:val="auto"/>
          <w:sz w:val="22"/>
          <w:szCs w:val="22"/>
          <w:highlight w:val="yellow"/>
          <w:lang w:val="ru-RU"/>
        </w:rPr>
      </w:pPr>
    </w:p>
    <w:p w:rsidR="0081669C" w:rsidRPr="00311238" w:rsidRDefault="0081669C" w:rsidP="00B067F6">
      <w:pPr>
        <w:pBdr>
          <w:top w:val="none" w:sz="0" w:space="0" w:color="auto"/>
          <w:left w:val="none" w:sz="0" w:space="0" w:color="auto"/>
          <w:bottom w:val="none" w:sz="0" w:space="0" w:color="auto"/>
          <w:right w:val="none" w:sz="0" w:space="0" w:color="auto"/>
          <w:bar w:val="none" w:sz="0" w:color="auto"/>
        </w:pBdr>
        <w:spacing w:line="360" w:lineRule="auto"/>
        <w:rPr>
          <w:rFonts w:cs="Calibri"/>
          <w:color w:val="auto"/>
          <w:sz w:val="22"/>
          <w:szCs w:val="22"/>
          <w:highlight w:val="yellow"/>
          <w:lang w:val="ru-RU"/>
        </w:rPr>
      </w:pPr>
    </w:p>
    <w:p w:rsidR="0081669C" w:rsidRPr="00311238" w:rsidRDefault="0081669C" w:rsidP="00775A41">
      <w:pPr>
        <w:pBdr>
          <w:top w:val="none" w:sz="0" w:space="0" w:color="auto"/>
          <w:left w:val="none" w:sz="0" w:space="0" w:color="auto"/>
          <w:bottom w:val="none" w:sz="0" w:space="0" w:color="auto"/>
          <w:right w:val="none" w:sz="0" w:space="0" w:color="auto"/>
          <w:bar w:val="none" w:sz="0" w:color="auto"/>
        </w:pBdr>
        <w:jc w:val="center"/>
        <w:rPr>
          <w:rFonts w:cs="Calibri"/>
          <w:b/>
          <w:color w:val="auto"/>
          <w:sz w:val="22"/>
          <w:szCs w:val="22"/>
          <w:lang w:val="ru-RU"/>
        </w:rPr>
      </w:pPr>
      <w:r w:rsidRPr="00311238">
        <w:rPr>
          <w:rFonts w:cs="Calibri"/>
          <w:b/>
          <w:color w:val="auto"/>
          <w:sz w:val="22"/>
          <w:szCs w:val="22"/>
          <w:lang w:val="ru-RU"/>
        </w:rPr>
        <w:t>Положение</w:t>
      </w:r>
    </w:p>
    <w:p w:rsidR="0081669C" w:rsidRPr="00311238" w:rsidRDefault="0081669C" w:rsidP="003979D3">
      <w:pPr>
        <w:pBdr>
          <w:top w:val="none" w:sz="0" w:space="0" w:color="auto"/>
          <w:left w:val="none" w:sz="0" w:space="0" w:color="auto"/>
          <w:bottom w:val="none" w:sz="0" w:space="0" w:color="auto"/>
          <w:right w:val="none" w:sz="0" w:space="0" w:color="auto"/>
          <w:bar w:val="none" w:sz="0" w:color="auto"/>
        </w:pBdr>
        <w:jc w:val="center"/>
        <w:rPr>
          <w:rFonts w:cs="Calibri"/>
          <w:b/>
          <w:color w:val="auto"/>
          <w:sz w:val="22"/>
          <w:szCs w:val="22"/>
          <w:lang w:val="ru-RU"/>
        </w:rPr>
      </w:pPr>
      <w:r w:rsidRPr="00311238">
        <w:rPr>
          <w:rFonts w:cs="Calibri"/>
          <w:b/>
          <w:color w:val="auto"/>
          <w:sz w:val="22"/>
          <w:szCs w:val="22"/>
          <w:lang w:val="ru-RU"/>
        </w:rPr>
        <w:t>о Межведомственной комиссии по вопросам поддержки российских организаций, реализующих корпоративные программы международной конкурентоспособности</w:t>
      </w:r>
    </w:p>
    <w:p w:rsidR="0081669C" w:rsidRPr="00311238" w:rsidRDefault="0081669C" w:rsidP="00B067F6">
      <w:pPr>
        <w:pBdr>
          <w:top w:val="none" w:sz="0" w:space="0" w:color="auto"/>
          <w:left w:val="none" w:sz="0" w:space="0" w:color="auto"/>
          <w:bottom w:val="none" w:sz="0" w:space="0" w:color="auto"/>
          <w:right w:val="none" w:sz="0" w:space="0" w:color="auto"/>
          <w:bar w:val="none" w:sz="0" w:color="auto"/>
        </w:pBdr>
        <w:spacing w:line="360" w:lineRule="auto"/>
        <w:rPr>
          <w:rFonts w:cs="Calibri"/>
          <w:color w:val="auto"/>
          <w:sz w:val="22"/>
          <w:szCs w:val="22"/>
          <w:lang w:val="ru-RU"/>
        </w:rPr>
      </w:pPr>
    </w:p>
    <w:p w:rsidR="0081669C" w:rsidRPr="00311238" w:rsidRDefault="0081669C" w:rsidP="003979D3">
      <w:pPr>
        <w:pStyle w:val="ListParagraph"/>
        <w:numPr>
          <w:ilvl w:val="0"/>
          <w:numId w:val="6"/>
        </w:numPr>
        <w:tabs>
          <w:tab w:val="left" w:pos="993"/>
        </w:tabs>
        <w:spacing w:line="360" w:lineRule="auto"/>
        <w:ind w:left="0" w:firstLine="709"/>
        <w:jc w:val="both"/>
        <w:rPr>
          <w:rFonts w:ascii="Times New Roman" w:hAnsi="Times New Roman"/>
        </w:rPr>
      </w:pPr>
      <w:r w:rsidRPr="00311238">
        <w:rPr>
          <w:rFonts w:ascii="Times New Roman" w:hAnsi="Times New Roman"/>
        </w:rPr>
        <w:t>Настоящее Положение определяет порядок формирования и деятельности межведомственной комиссии по вопросам поддержки российских организаций, реализующих корпоративные программы международной конкурентоспособности (далее –комиссия).</w:t>
      </w:r>
    </w:p>
    <w:p w:rsidR="0081669C" w:rsidRPr="00311238" w:rsidRDefault="0081669C" w:rsidP="00253A1B">
      <w:pPr>
        <w:pStyle w:val="ListParagraph"/>
        <w:numPr>
          <w:ilvl w:val="0"/>
          <w:numId w:val="6"/>
        </w:numPr>
        <w:tabs>
          <w:tab w:val="left" w:pos="993"/>
        </w:tabs>
        <w:spacing w:line="360" w:lineRule="auto"/>
        <w:ind w:left="0" w:firstLine="709"/>
        <w:jc w:val="both"/>
        <w:rPr>
          <w:rFonts w:ascii="Times New Roman" w:hAnsi="Times New Roman"/>
        </w:rPr>
      </w:pPr>
      <w:r w:rsidRPr="00311238">
        <w:rPr>
          <w:rFonts w:ascii="Times New Roman" w:hAnsi="Times New Roman"/>
        </w:rPr>
        <w:t xml:space="preserve"> Межведомственная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постановлением Правительства Российской Федерации от № «</w:t>
      </w:r>
      <w:r w:rsidRPr="00311238">
        <w:rPr>
          <w:rFonts w:ascii="Times New Roman" w:hAnsi="Times New Roman"/>
          <w:bCs/>
        </w:rPr>
        <w:t xml:space="preserve">О государственной поддержке российских организаций в целях реализации корпоративных программ международной конкурентоспособности» </w:t>
      </w:r>
      <w:r w:rsidRPr="00311238">
        <w:rPr>
          <w:rFonts w:ascii="Times New Roman" w:hAnsi="Times New Roman"/>
        </w:rPr>
        <w:t>и иными нормативными правовыми актами и настоящим Положением.</w:t>
      </w:r>
    </w:p>
    <w:p w:rsidR="0081669C" w:rsidRPr="00311238" w:rsidRDefault="0081669C" w:rsidP="003979D3">
      <w:pPr>
        <w:pStyle w:val="ListParagraph"/>
        <w:numPr>
          <w:ilvl w:val="0"/>
          <w:numId w:val="6"/>
        </w:numPr>
        <w:tabs>
          <w:tab w:val="left" w:pos="993"/>
        </w:tabs>
        <w:spacing w:line="360" w:lineRule="auto"/>
        <w:ind w:left="0" w:firstLine="709"/>
        <w:jc w:val="both"/>
        <w:rPr>
          <w:rFonts w:ascii="Times New Roman" w:hAnsi="Times New Roman"/>
        </w:rPr>
      </w:pPr>
      <w:r w:rsidRPr="00311238">
        <w:rPr>
          <w:rFonts w:ascii="Times New Roman" w:hAnsi="Times New Roman"/>
        </w:rPr>
        <w:t>Основными задачи комиссии являются:</w:t>
      </w:r>
    </w:p>
    <w:p w:rsidR="0081669C" w:rsidRPr="00311238" w:rsidRDefault="0081669C" w:rsidP="00713B73">
      <w:pPr>
        <w:pStyle w:val="ListParagraph"/>
        <w:tabs>
          <w:tab w:val="left" w:pos="993"/>
        </w:tabs>
        <w:spacing w:line="360" w:lineRule="auto"/>
        <w:ind w:left="0" w:firstLine="709"/>
        <w:jc w:val="both"/>
        <w:rPr>
          <w:rFonts w:ascii="Times New Roman" w:hAnsi="Times New Roman"/>
        </w:rPr>
      </w:pPr>
      <w:r w:rsidRPr="00311238">
        <w:rPr>
          <w:rFonts w:ascii="Times New Roman" w:hAnsi="Times New Roman"/>
        </w:rPr>
        <w:t>а) формирование и утверждение Единого перечня российских организаций, реализующих корпоративные программы международной конкурентоспособности (далее – Единый перечень), в соответствии с Правилами формирования Единого перечня российских организаций, реализующих корпоративные программы международной конкурентоспособности, утверждёнными постановлением Правительства Российской Федерации от   № (далее – Правила формирования Единого реестра), Правилами предоставления субсидий из федерального бюджета российским организациям федерального значения на финансовое обеспечение части затрат связанных с реализацией корпоративных программ международной конкурентоспособности, утверждёнными постановлением Правительства Российской Федерации от   № (далее – Правила предоставления субсидий из федерального бюджета российским организациям федерального значения), а также Правилами предоставления иных межбюджетных трансфертов из федерального бюджета бюджетам субъектов Российской Федерации на софинансирование затрат по предоставлению субсидий из бюджета субъекта Российской Федерации российским организациям, производителям российской промышленной продукции, реализующим корпоративные программы международной конкурентоспособности, утвержденными постановлением Правительства Российской Федерации от  № (далее – Правила предоставления иных межбюджетных трансфертов);</w:t>
      </w:r>
    </w:p>
    <w:p w:rsidR="0081669C" w:rsidRPr="00311238" w:rsidRDefault="0081669C" w:rsidP="00ED7732">
      <w:pPr>
        <w:pStyle w:val="ListParagraph"/>
        <w:tabs>
          <w:tab w:val="left" w:pos="993"/>
        </w:tabs>
        <w:spacing w:after="0" w:line="360" w:lineRule="auto"/>
        <w:ind w:left="0" w:firstLine="709"/>
        <w:jc w:val="both"/>
        <w:rPr>
          <w:rFonts w:ascii="Times New Roman" w:hAnsi="Times New Roman"/>
        </w:rPr>
      </w:pPr>
      <w:r w:rsidRPr="00311238">
        <w:rPr>
          <w:rFonts w:ascii="Times New Roman" w:hAnsi="Times New Roman"/>
        </w:rPr>
        <w:t>б) принятие решения о возможности (отсутствия возможности) внесения изменений в соглашения о предоставлении субсидий, в соответствии с Правилами предоставления субсидий из федерального бюджета российским организациям федерального значения</w:t>
      </w:r>
    </w:p>
    <w:p w:rsidR="0081669C" w:rsidRPr="00311238" w:rsidRDefault="0081669C" w:rsidP="00ED7732">
      <w:pPr>
        <w:pStyle w:val="ListParagraph"/>
        <w:tabs>
          <w:tab w:val="left" w:pos="993"/>
        </w:tabs>
        <w:spacing w:after="0" w:line="360" w:lineRule="auto"/>
        <w:ind w:left="0" w:firstLine="709"/>
        <w:jc w:val="both"/>
        <w:rPr>
          <w:rFonts w:ascii="Times New Roman" w:hAnsi="Times New Roman"/>
        </w:rPr>
      </w:pPr>
      <w:r w:rsidRPr="00311238">
        <w:rPr>
          <w:rFonts w:ascii="Times New Roman" w:hAnsi="Times New Roman"/>
        </w:rPr>
        <w:t>в) право перераспределить предварительные отраслевые лимиты по результатам рассмотрения, в соответствии с Правилами формирования Единого реестра общих объемов субсидии, испрашиваемых российскими организациями, реализующими корпоративные программы международной конкурентоспособности из средств бюджетов бюджетной системы Российской Федерации на реализацию корпоративных программы международной конкурентоспособности, в пределах лимитов бюджетных обязательств, предусмотренных в федеральном бюджете, и бюджете субъектов Российской Федерации на цели, предусмотренные пунктом 2 Правил предоставления субсидий из федерального бюджета российским организациям федерального значения и пунктом 2 Правил предоставления иных межбюджетных трансфертов.</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4. Комиссия образуется в составе председателя комиссии, его заместителя и членов комиссии.</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5. В состав комиссии входят Министр промышленности и торговли Российской Федерации (председатель межведомственной комиссии), представители Министерства промышленности и торговли Российской Федерации (далее – уполномоченный орган), заместители руководителей Министерства экономического развития Российской Федерации, Министерства финансов Российской Федерации, Федеральной антимонопольной службы, акционерного общества «Российский экспортный центр», Федерального государственного автономного учреждения «Российский фонд технологического развития» Фонда развития промышленности.</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6. Представители федеральных органов исполнительной власти включаются в состав комиссии по представлению соответствующего федерального органа исполнительной власти.</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7. Состав комиссии утверждается Министерством промышленности и торговли Российской Федерации.</w:t>
      </w:r>
    </w:p>
    <w:p w:rsidR="0081669C" w:rsidRPr="00311238" w:rsidRDefault="0081669C" w:rsidP="00646F97">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8. Председатель комиссии:</w:t>
      </w:r>
    </w:p>
    <w:p w:rsidR="0081669C" w:rsidRPr="00311238" w:rsidRDefault="0081669C" w:rsidP="00646F97">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eastAsia="en-US"/>
        </w:rPr>
      </w:pPr>
      <w:r w:rsidRPr="00311238">
        <w:rPr>
          <w:color w:val="auto"/>
          <w:sz w:val="22"/>
          <w:szCs w:val="22"/>
          <w:lang w:val="ru-RU" w:eastAsia="en-US"/>
        </w:rPr>
        <w:t>а) организует работу комиссии;</w:t>
      </w:r>
    </w:p>
    <w:p w:rsidR="0081669C" w:rsidRPr="00311238" w:rsidRDefault="0081669C" w:rsidP="00646F97">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eastAsia="en-US"/>
        </w:rPr>
      </w:pPr>
      <w:r w:rsidRPr="00311238">
        <w:rPr>
          <w:color w:val="auto"/>
          <w:sz w:val="22"/>
          <w:szCs w:val="22"/>
          <w:lang w:val="ru-RU" w:eastAsia="en-US"/>
        </w:rPr>
        <w:t>б) определяет перечень, сроки и порядок рассмотрения вопросов на заседаниях комиссии;</w:t>
      </w:r>
    </w:p>
    <w:p w:rsidR="0081669C" w:rsidRPr="00311238" w:rsidRDefault="0081669C" w:rsidP="00646F97">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eastAsia="en-US"/>
        </w:rPr>
      </w:pPr>
      <w:r w:rsidRPr="00311238">
        <w:rPr>
          <w:color w:val="auto"/>
          <w:sz w:val="22"/>
          <w:szCs w:val="22"/>
          <w:lang w:val="ru-RU" w:eastAsia="en-US"/>
        </w:rPr>
        <w:t>в) организует планирование текущей работы комиссии и на перспективу.</w:t>
      </w:r>
    </w:p>
    <w:p w:rsidR="0081669C" w:rsidRPr="00311238" w:rsidRDefault="0081669C" w:rsidP="00646F97">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8. В отсутствие председателя комиссии его обязанности исполняет заместитель председателя комиссии.</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9. Созыв и проведение заседаний комиссии обеспечивает Министерство промышленности и торговли Российской Федерации.</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10. Заседание комиссии считается правомочным для принятия решений, если на нем присутствует не менее половины ее членов.</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11. Уведомление о предстоящем заседании комиссии и необходимые материалы рассылаются Министерством промышленности и торговли Российской Федерации. по поручению председателя комиссии ее членам не позднее одного месяца до дня проведения заседания комиссии.</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12. Решение комиссии принимается простым большинством голосов присутствующих на заседании членов комиссии.</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 xml:space="preserve">13. Решения комиссии в течение 10 рабочих дней с даты проведения заседания оформляются протоколом, который подписывается всеми присутствующими на заседании комиссии членами комиссии. </w:t>
      </w:r>
    </w:p>
    <w:p w:rsidR="0081669C" w:rsidRPr="00311238" w:rsidRDefault="0081669C" w:rsidP="00ED773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360" w:lineRule="auto"/>
        <w:ind w:firstLine="709"/>
        <w:jc w:val="both"/>
        <w:rPr>
          <w:color w:val="auto"/>
          <w:sz w:val="22"/>
          <w:szCs w:val="22"/>
          <w:lang w:val="ru-RU"/>
        </w:rPr>
      </w:pPr>
      <w:r w:rsidRPr="00311238">
        <w:rPr>
          <w:color w:val="auto"/>
          <w:sz w:val="22"/>
          <w:szCs w:val="22"/>
          <w:lang w:val="ru-RU"/>
        </w:rPr>
        <w:t>14. Информационно-аналитическое и материально-техническое обеспечение деятельности комиссии осуществляется Министерством промышленности и торговли Российской Федерации.</w:t>
      </w:r>
    </w:p>
    <w:p w:rsidR="0081669C" w:rsidRPr="00311238" w:rsidRDefault="0081669C" w:rsidP="00DE6CAD">
      <w:pPr>
        <w:pStyle w:val="ConsPlusNormal"/>
        <w:pBdr>
          <w:top w:val="none" w:sz="0" w:space="0" w:color="auto"/>
          <w:left w:val="none" w:sz="0" w:space="0" w:color="auto"/>
          <w:bottom w:val="none" w:sz="0" w:space="0" w:color="auto"/>
          <w:right w:val="none" w:sz="0" w:space="0" w:color="auto"/>
          <w:bar w:val="none" w:sz="0" w:color="auto"/>
        </w:pBdr>
        <w:spacing w:after="0" w:line="240" w:lineRule="auto"/>
        <w:outlineLvl w:val="0"/>
        <w:rPr>
          <w:color w:val="auto"/>
        </w:rPr>
      </w:pPr>
    </w:p>
    <w:sectPr w:rsidR="0081669C" w:rsidRPr="00311238" w:rsidSect="00550359">
      <w:pgSz w:w="11900" w:h="16840"/>
      <w:pgMar w:top="1134" w:right="567" w:bottom="1134" w:left="1134" w:header="0" w:footer="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69C" w:rsidRDefault="0081669C">
      <w:pPr>
        <w:pBdr>
          <w:top w:val="none" w:sz="0" w:space="0" w:color="auto"/>
          <w:left w:val="none" w:sz="0" w:space="0" w:color="auto"/>
          <w:bottom w:val="none" w:sz="0" w:space="0" w:color="auto"/>
          <w:right w:val="none" w:sz="0" w:space="0" w:color="auto"/>
          <w:bar w:val="none" w:sz="0" w:color="auto"/>
        </w:pBdr>
      </w:pPr>
      <w:r>
        <w:separator/>
      </w:r>
    </w:p>
  </w:endnote>
  <w:endnote w:type="continuationSeparator" w:id="1">
    <w:p w:rsidR="0081669C" w:rsidRDefault="0081669C">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69C" w:rsidRDefault="0081669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1">
    <w:p w:rsidR="0081669C" w:rsidRDefault="0081669C">
      <w:pPr>
        <w:pBdr>
          <w:top w:val="none" w:sz="0" w:space="0" w:color="auto"/>
          <w:left w:val="none" w:sz="0" w:space="0" w:color="auto"/>
          <w:bottom w:val="none" w:sz="0" w:space="0" w:color="auto"/>
          <w:right w:val="none" w:sz="0" w:space="0" w:color="auto"/>
          <w:bar w:val="none" w:sz="0" w:color="auto"/>
        </w:pBdr>
      </w:pPr>
      <w:r>
        <w:continuationSeparator/>
      </w:r>
    </w:p>
  </w:footnote>
  <w:footnote w:id="2">
    <w:p w:rsidR="0081669C" w:rsidRDefault="0081669C">
      <w:pPr>
        <w:pStyle w:val="FootnoteText"/>
      </w:pPr>
      <w:r w:rsidRPr="00EB6C3C">
        <w:rPr>
          <w:rStyle w:val="FootnoteReference"/>
          <w:rFonts w:ascii="Times New Roman" w:hAnsi="Times New Roman"/>
        </w:rPr>
        <w:footnoteRef/>
      </w:r>
      <w:r w:rsidRPr="00EB6C3C">
        <w:rPr>
          <w:rFonts w:ascii="Times New Roman" w:hAnsi="Times New Roman"/>
          <w:lang w:val="ru-RU"/>
        </w:rPr>
        <w:t xml:space="preserve"> Заполняется в соответствии с пунктом 5 Паспорта «Результаты реализации Корпоративной программы»</w:t>
      </w:r>
    </w:p>
  </w:footnote>
  <w:footnote w:id="3">
    <w:p w:rsidR="0081669C" w:rsidRDefault="0081669C">
      <w:pPr>
        <w:pStyle w:val="FootnoteText"/>
      </w:pPr>
      <w:r w:rsidRPr="00EB6C3C">
        <w:rPr>
          <w:rStyle w:val="FootnoteReference"/>
          <w:rFonts w:ascii="Times New Roman" w:hAnsi="Times New Roman"/>
        </w:rPr>
        <w:footnoteRef/>
      </w:r>
      <w:r w:rsidRPr="00EB6C3C">
        <w:rPr>
          <w:rFonts w:ascii="Times New Roman" w:hAnsi="Times New Roman"/>
          <w:lang w:val="ru-RU"/>
        </w:rPr>
        <w:t xml:space="preserve"> Здесь далее представлен рекомендуемый пример заполнения</w:t>
      </w:r>
    </w:p>
  </w:footnote>
  <w:footnote w:id="4">
    <w:p w:rsidR="0081669C" w:rsidRDefault="0081669C">
      <w:pPr>
        <w:pStyle w:val="FootnoteText"/>
      </w:pPr>
      <w:r>
        <w:rPr>
          <w:rStyle w:val="FootnoteReference"/>
        </w:rPr>
        <w:footnoteRef/>
      </w:r>
      <w:r>
        <w:rPr>
          <w:lang w:val="ru-RU"/>
        </w:rPr>
        <w:t xml:space="preserve"> </w:t>
      </w:r>
      <w:r w:rsidRPr="009B734C">
        <w:rPr>
          <w:rFonts w:ascii="Times New Roman" w:hAnsi="Times New Roman"/>
          <w:lang w:val="ru-RU"/>
        </w:rPr>
        <w:t>Здесь и далее рекомендуемый пример мероприятий</w:t>
      </w:r>
      <w:r>
        <w:rPr>
          <w:lang w:val="ru-R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9C" w:rsidRDefault="0081669C">
    <w:pPr>
      <w:pStyle w:val="Header"/>
      <w:pBdr>
        <w:top w:val="none" w:sz="0" w:space="0" w:color="auto"/>
        <w:left w:val="none" w:sz="0" w:space="0" w:color="auto"/>
        <w:bottom w:val="none" w:sz="0" w:space="0" w:color="auto"/>
        <w:right w:val="none" w:sz="0" w:space="0" w:color="auto"/>
        <w:bar w:val="none" w:sz="0" w:color="auto"/>
      </w:pBdr>
      <w:tabs>
        <w:tab w:val="clear" w:pos="9355"/>
        <w:tab w:val="right" w:pos="9329"/>
      </w:tabs>
      <w:jc w:val="center"/>
    </w:pPr>
    <w:r>
      <w:rPr>
        <w:noProof/>
      </w:rPr>
      <w:fldChar w:fldCharType="begin"/>
    </w:r>
    <w:r>
      <w:rPr>
        <w:noProof/>
      </w:rPr>
      <w:instrText xml:space="preserve"> PAGE </w:instrText>
    </w:r>
    <w:r>
      <w:rPr>
        <w:noProof/>
      </w:rPr>
      <w:fldChar w:fldCharType="separate"/>
    </w:r>
    <w:r>
      <w:rPr>
        <w:noProof/>
      </w:rPr>
      <w:t>8</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9C" w:rsidRDefault="0081669C">
    <w:pPr>
      <w:pStyle w:val="Header"/>
      <w:pBdr>
        <w:top w:val="none" w:sz="0" w:space="0" w:color="auto"/>
        <w:left w:val="none" w:sz="0" w:space="0" w:color="auto"/>
        <w:bottom w:val="none" w:sz="0" w:space="0" w:color="auto"/>
        <w:right w:val="none" w:sz="0" w:space="0" w:color="auto"/>
        <w:bar w:val="none" w:sz="0" w:color="auto"/>
      </w:pBdr>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50C2"/>
    <w:multiLevelType w:val="hybridMultilevel"/>
    <w:tmpl w:val="87880D1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1DDC4976"/>
    <w:multiLevelType w:val="hybridMultilevel"/>
    <w:tmpl w:val="F9C0C0EA"/>
    <w:lvl w:ilvl="0" w:tplc="AFEC73D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26C303D"/>
    <w:multiLevelType w:val="hybridMultilevel"/>
    <w:tmpl w:val="D1623BEE"/>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3FE90EBA"/>
    <w:multiLevelType w:val="hybridMultilevel"/>
    <w:tmpl w:val="98C44280"/>
    <w:lvl w:ilvl="0" w:tplc="4B5C8B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DD769C7"/>
    <w:multiLevelType w:val="hybridMultilevel"/>
    <w:tmpl w:val="F44CC52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6AE22C12"/>
    <w:multiLevelType w:val="multilevel"/>
    <w:tmpl w:val="F1BAF6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6">
    <w:nsid w:val="736426EA"/>
    <w:multiLevelType w:val="hybridMultilevel"/>
    <w:tmpl w:val="1F22DF2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3ED"/>
    <w:rsid w:val="00002C60"/>
    <w:rsid w:val="00010EC4"/>
    <w:rsid w:val="000168BF"/>
    <w:rsid w:val="00023A0A"/>
    <w:rsid w:val="000327D6"/>
    <w:rsid w:val="00035551"/>
    <w:rsid w:val="0003614A"/>
    <w:rsid w:val="000422EE"/>
    <w:rsid w:val="00050B5A"/>
    <w:rsid w:val="0005246D"/>
    <w:rsid w:val="00053E73"/>
    <w:rsid w:val="000572BA"/>
    <w:rsid w:val="000810AC"/>
    <w:rsid w:val="0009015D"/>
    <w:rsid w:val="000944F2"/>
    <w:rsid w:val="000A0632"/>
    <w:rsid w:val="000C0D41"/>
    <w:rsid w:val="000C2D50"/>
    <w:rsid w:val="000D264C"/>
    <w:rsid w:val="000D3E6E"/>
    <w:rsid w:val="000D52C9"/>
    <w:rsid w:val="000E4421"/>
    <w:rsid w:val="000E653A"/>
    <w:rsid w:val="000E7501"/>
    <w:rsid w:val="001021E7"/>
    <w:rsid w:val="0010632F"/>
    <w:rsid w:val="0011404E"/>
    <w:rsid w:val="00117D9D"/>
    <w:rsid w:val="00125825"/>
    <w:rsid w:val="001442DE"/>
    <w:rsid w:val="0015170A"/>
    <w:rsid w:val="00153E2E"/>
    <w:rsid w:val="00160174"/>
    <w:rsid w:val="00163B8C"/>
    <w:rsid w:val="001648CE"/>
    <w:rsid w:val="00165242"/>
    <w:rsid w:val="00173F8A"/>
    <w:rsid w:val="00174B79"/>
    <w:rsid w:val="001814F7"/>
    <w:rsid w:val="00195028"/>
    <w:rsid w:val="00196B89"/>
    <w:rsid w:val="001A18E9"/>
    <w:rsid w:val="001B58C0"/>
    <w:rsid w:val="001C0B36"/>
    <w:rsid w:val="001D7915"/>
    <w:rsid w:val="001E2FEF"/>
    <w:rsid w:val="001E38B1"/>
    <w:rsid w:val="001E3B17"/>
    <w:rsid w:val="001E67E7"/>
    <w:rsid w:val="001F419C"/>
    <w:rsid w:val="001F4CDF"/>
    <w:rsid w:val="001F53AB"/>
    <w:rsid w:val="001F5D87"/>
    <w:rsid w:val="002045DE"/>
    <w:rsid w:val="0021109D"/>
    <w:rsid w:val="002250DA"/>
    <w:rsid w:val="00234BB9"/>
    <w:rsid w:val="00234F9C"/>
    <w:rsid w:val="0024052B"/>
    <w:rsid w:val="002407D5"/>
    <w:rsid w:val="002426B7"/>
    <w:rsid w:val="00245FCE"/>
    <w:rsid w:val="0024601D"/>
    <w:rsid w:val="00253A1B"/>
    <w:rsid w:val="002611C2"/>
    <w:rsid w:val="002729BA"/>
    <w:rsid w:val="00277CD9"/>
    <w:rsid w:val="00283151"/>
    <w:rsid w:val="0028346C"/>
    <w:rsid w:val="002917FB"/>
    <w:rsid w:val="002959E3"/>
    <w:rsid w:val="002A06DC"/>
    <w:rsid w:val="002A0767"/>
    <w:rsid w:val="002A0D0C"/>
    <w:rsid w:val="002B0153"/>
    <w:rsid w:val="002C2189"/>
    <w:rsid w:val="002C32FF"/>
    <w:rsid w:val="002D26F4"/>
    <w:rsid w:val="002D5BAE"/>
    <w:rsid w:val="002E3B4A"/>
    <w:rsid w:val="002E5F1B"/>
    <w:rsid w:val="002F47E8"/>
    <w:rsid w:val="003002E2"/>
    <w:rsid w:val="00301570"/>
    <w:rsid w:val="00303EA8"/>
    <w:rsid w:val="00311238"/>
    <w:rsid w:val="00314091"/>
    <w:rsid w:val="00316584"/>
    <w:rsid w:val="00322CFD"/>
    <w:rsid w:val="00323BAE"/>
    <w:rsid w:val="00324E65"/>
    <w:rsid w:val="003311F3"/>
    <w:rsid w:val="003354A2"/>
    <w:rsid w:val="00335A99"/>
    <w:rsid w:val="00340A3B"/>
    <w:rsid w:val="00342179"/>
    <w:rsid w:val="00356A2A"/>
    <w:rsid w:val="003630E8"/>
    <w:rsid w:val="00363FCA"/>
    <w:rsid w:val="00377AE0"/>
    <w:rsid w:val="003816B1"/>
    <w:rsid w:val="00386768"/>
    <w:rsid w:val="003979D3"/>
    <w:rsid w:val="003B1959"/>
    <w:rsid w:val="003B57F0"/>
    <w:rsid w:val="003C39AB"/>
    <w:rsid w:val="003D3795"/>
    <w:rsid w:val="003E06C7"/>
    <w:rsid w:val="003E2C8C"/>
    <w:rsid w:val="003E4650"/>
    <w:rsid w:val="003E6FDB"/>
    <w:rsid w:val="003F6ACA"/>
    <w:rsid w:val="003F6DF4"/>
    <w:rsid w:val="003F7197"/>
    <w:rsid w:val="00405EA9"/>
    <w:rsid w:val="004076F8"/>
    <w:rsid w:val="00412494"/>
    <w:rsid w:val="00413CDA"/>
    <w:rsid w:val="00414CD3"/>
    <w:rsid w:val="0041792A"/>
    <w:rsid w:val="00421A0A"/>
    <w:rsid w:val="00424BE7"/>
    <w:rsid w:val="00443724"/>
    <w:rsid w:val="00445C6D"/>
    <w:rsid w:val="00445CA6"/>
    <w:rsid w:val="0045347D"/>
    <w:rsid w:val="00457860"/>
    <w:rsid w:val="00465D6A"/>
    <w:rsid w:val="004703FF"/>
    <w:rsid w:val="00470FA7"/>
    <w:rsid w:val="00477C9C"/>
    <w:rsid w:val="00486392"/>
    <w:rsid w:val="00493681"/>
    <w:rsid w:val="004A1DDF"/>
    <w:rsid w:val="004A4288"/>
    <w:rsid w:val="004A4F43"/>
    <w:rsid w:val="004B34FD"/>
    <w:rsid w:val="004B5047"/>
    <w:rsid w:val="004C7EAB"/>
    <w:rsid w:val="004D21C1"/>
    <w:rsid w:val="004D285A"/>
    <w:rsid w:val="004D4442"/>
    <w:rsid w:val="004D45C1"/>
    <w:rsid w:val="004E4F5B"/>
    <w:rsid w:val="004E5B65"/>
    <w:rsid w:val="004F1D30"/>
    <w:rsid w:val="00505677"/>
    <w:rsid w:val="00507FEC"/>
    <w:rsid w:val="00523BC9"/>
    <w:rsid w:val="00534C10"/>
    <w:rsid w:val="0054399B"/>
    <w:rsid w:val="0054733F"/>
    <w:rsid w:val="00550359"/>
    <w:rsid w:val="005540F2"/>
    <w:rsid w:val="005656A1"/>
    <w:rsid w:val="005814D0"/>
    <w:rsid w:val="00581B58"/>
    <w:rsid w:val="0058374F"/>
    <w:rsid w:val="0059032B"/>
    <w:rsid w:val="00591889"/>
    <w:rsid w:val="005A60D8"/>
    <w:rsid w:val="005A6FE4"/>
    <w:rsid w:val="005A7D36"/>
    <w:rsid w:val="005B3967"/>
    <w:rsid w:val="005B517D"/>
    <w:rsid w:val="005D64F3"/>
    <w:rsid w:val="005D7E6D"/>
    <w:rsid w:val="005E2E6B"/>
    <w:rsid w:val="005E5CD1"/>
    <w:rsid w:val="005E5D3A"/>
    <w:rsid w:val="005F23D2"/>
    <w:rsid w:val="005F5C30"/>
    <w:rsid w:val="00601893"/>
    <w:rsid w:val="00602D1A"/>
    <w:rsid w:val="00602E12"/>
    <w:rsid w:val="006147DD"/>
    <w:rsid w:val="006217C5"/>
    <w:rsid w:val="00626CFB"/>
    <w:rsid w:val="0063172A"/>
    <w:rsid w:val="006345DB"/>
    <w:rsid w:val="00636A23"/>
    <w:rsid w:val="0064506B"/>
    <w:rsid w:val="00646F97"/>
    <w:rsid w:val="006501E9"/>
    <w:rsid w:val="00653763"/>
    <w:rsid w:val="0065437E"/>
    <w:rsid w:val="00655123"/>
    <w:rsid w:val="0066556F"/>
    <w:rsid w:val="00673BF4"/>
    <w:rsid w:val="00676819"/>
    <w:rsid w:val="00680CB3"/>
    <w:rsid w:val="00681915"/>
    <w:rsid w:val="00685938"/>
    <w:rsid w:val="00687461"/>
    <w:rsid w:val="00687890"/>
    <w:rsid w:val="00692E19"/>
    <w:rsid w:val="006A4AEF"/>
    <w:rsid w:val="006B1490"/>
    <w:rsid w:val="006E7ABE"/>
    <w:rsid w:val="006F4460"/>
    <w:rsid w:val="00713212"/>
    <w:rsid w:val="00713B73"/>
    <w:rsid w:val="00717253"/>
    <w:rsid w:val="00721E91"/>
    <w:rsid w:val="00722FA4"/>
    <w:rsid w:val="00732013"/>
    <w:rsid w:val="00733EE3"/>
    <w:rsid w:val="007419B3"/>
    <w:rsid w:val="00741E70"/>
    <w:rsid w:val="0074555C"/>
    <w:rsid w:val="007524C2"/>
    <w:rsid w:val="007526F4"/>
    <w:rsid w:val="00766D04"/>
    <w:rsid w:val="00775A41"/>
    <w:rsid w:val="0077727C"/>
    <w:rsid w:val="00781005"/>
    <w:rsid w:val="00783337"/>
    <w:rsid w:val="00787DD1"/>
    <w:rsid w:val="007903D2"/>
    <w:rsid w:val="00796AFB"/>
    <w:rsid w:val="007A1F36"/>
    <w:rsid w:val="007B7565"/>
    <w:rsid w:val="007D1431"/>
    <w:rsid w:val="007D49F7"/>
    <w:rsid w:val="007D6BA6"/>
    <w:rsid w:val="007E0A2B"/>
    <w:rsid w:val="007E5642"/>
    <w:rsid w:val="007E71B2"/>
    <w:rsid w:val="007F2B18"/>
    <w:rsid w:val="007F4A4E"/>
    <w:rsid w:val="007F4C96"/>
    <w:rsid w:val="00802A3C"/>
    <w:rsid w:val="00807A4E"/>
    <w:rsid w:val="00807EC9"/>
    <w:rsid w:val="00810163"/>
    <w:rsid w:val="0081669C"/>
    <w:rsid w:val="00821EED"/>
    <w:rsid w:val="008240EC"/>
    <w:rsid w:val="00826DFE"/>
    <w:rsid w:val="00832A26"/>
    <w:rsid w:val="0084740B"/>
    <w:rsid w:val="00847487"/>
    <w:rsid w:val="008540E7"/>
    <w:rsid w:val="008543F4"/>
    <w:rsid w:val="008773B1"/>
    <w:rsid w:val="00886761"/>
    <w:rsid w:val="008872EB"/>
    <w:rsid w:val="00887F25"/>
    <w:rsid w:val="008908E0"/>
    <w:rsid w:val="008937B6"/>
    <w:rsid w:val="008978FD"/>
    <w:rsid w:val="008B20A0"/>
    <w:rsid w:val="008B4CE6"/>
    <w:rsid w:val="008C440A"/>
    <w:rsid w:val="008F4083"/>
    <w:rsid w:val="009053C2"/>
    <w:rsid w:val="0090620B"/>
    <w:rsid w:val="00911C09"/>
    <w:rsid w:val="00923A40"/>
    <w:rsid w:val="00930206"/>
    <w:rsid w:val="0093061B"/>
    <w:rsid w:val="00930792"/>
    <w:rsid w:val="009347AF"/>
    <w:rsid w:val="0093751E"/>
    <w:rsid w:val="009537E9"/>
    <w:rsid w:val="0095793B"/>
    <w:rsid w:val="00961004"/>
    <w:rsid w:val="00961A18"/>
    <w:rsid w:val="00962B4F"/>
    <w:rsid w:val="009638F4"/>
    <w:rsid w:val="00967A71"/>
    <w:rsid w:val="00976002"/>
    <w:rsid w:val="00981E49"/>
    <w:rsid w:val="0099280A"/>
    <w:rsid w:val="009A59C7"/>
    <w:rsid w:val="009A7CC8"/>
    <w:rsid w:val="009B1CF2"/>
    <w:rsid w:val="009B734C"/>
    <w:rsid w:val="009B7433"/>
    <w:rsid w:val="009E7AAD"/>
    <w:rsid w:val="009F7EFB"/>
    <w:rsid w:val="00A01A9B"/>
    <w:rsid w:val="00A06AD6"/>
    <w:rsid w:val="00A07382"/>
    <w:rsid w:val="00A10E24"/>
    <w:rsid w:val="00A30E81"/>
    <w:rsid w:val="00A316C2"/>
    <w:rsid w:val="00A31BE6"/>
    <w:rsid w:val="00A32B03"/>
    <w:rsid w:val="00A32DE3"/>
    <w:rsid w:val="00A332FE"/>
    <w:rsid w:val="00A36C57"/>
    <w:rsid w:val="00A37385"/>
    <w:rsid w:val="00A4316A"/>
    <w:rsid w:val="00A46DC0"/>
    <w:rsid w:val="00A761FA"/>
    <w:rsid w:val="00A80630"/>
    <w:rsid w:val="00A81D31"/>
    <w:rsid w:val="00A82C09"/>
    <w:rsid w:val="00A8529F"/>
    <w:rsid w:val="00A96EC4"/>
    <w:rsid w:val="00AA0CE6"/>
    <w:rsid w:val="00AA1580"/>
    <w:rsid w:val="00AA4919"/>
    <w:rsid w:val="00AB1243"/>
    <w:rsid w:val="00AD2181"/>
    <w:rsid w:val="00AD4A93"/>
    <w:rsid w:val="00AD5E23"/>
    <w:rsid w:val="00AE13ED"/>
    <w:rsid w:val="00AE4505"/>
    <w:rsid w:val="00AE6F79"/>
    <w:rsid w:val="00AF1371"/>
    <w:rsid w:val="00B067F6"/>
    <w:rsid w:val="00B16CAF"/>
    <w:rsid w:val="00B239D7"/>
    <w:rsid w:val="00B32554"/>
    <w:rsid w:val="00B45F4D"/>
    <w:rsid w:val="00B4668E"/>
    <w:rsid w:val="00B46D4C"/>
    <w:rsid w:val="00B51BE5"/>
    <w:rsid w:val="00B54D0F"/>
    <w:rsid w:val="00B665E9"/>
    <w:rsid w:val="00B67EBE"/>
    <w:rsid w:val="00B7044C"/>
    <w:rsid w:val="00B775E2"/>
    <w:rsid w:val="00B82BD3"/>
    <w:rsid w:val="00B8612E"/>
    <w:rsid w:val="00B9019D"/>
    <w:rsid w:val="00BA3FF3"/>
    <w:rsid w:val="00BB7947"/>
    <w:rsid w:val="00BC3FD9"/>
    <w:rsid w:val="00BC67E7"/>
    <w:rsid w:val="00BD1BD3"/>
    <w:rsid w:val="00BD54C6"/>
    <w:rsid w:val="00BE0CA6"/>
    <w:rsid w:val="00BF601E"/>
    <w:rsid w:val="00BF70CA"/>
    <w:rsid w:val="00C0268A"/>
    <w:rsid w:val="00C128F7"/>
    <w:rsid w:val="00C13D03"/>
    <w:rsid w:val="00C162DA"/>
    <w:rsid w:val="00C175CD"/>
    <w:rsid w:val="00C23F89"/>
    <w:rsid w:val="00C251D8"/>
    <w:rsid w:val="00C25E72"/>
    <w:rsid w:val="00C3271C"/>
    <w:rsid w:val="00C3505C"/>
    <w:rsid w:val="00C36CD4"/>
    <w:rsid w:val="00C47747"/>
    <w:rsid w:val="00C561D4"/>
    <w:rsid w:val="00C65976"/>
    <w:rsid w:val="00C7299C"/>
    <w:rsid w:val="00C74441"/>
    <w:rsid w:val="00C7450E"/>
    <w:rsid w:val="00C761BA"/>
    <w:rsid w:val="00CA3941"/>
    <w:rsid w:val="00CA3E8C"/>
    <w:rsid w:val="00CC58BE"/>
    <w:rsid w:val="00CD492D"/>
    <w:rsid w:val="00CD4BF1"/>
    <w:rsid w:val="00CD7BAB"/>
    <w:rsid w:val="00CF3773"/>
    <w:rsid w:val="00CF4786"/>
    <w:rsid w:val="00D020DF"/>
    <w:rsid w:val="00D27D76"/>
    <w:rsid w:val="00D30B87"/>
    <w:rsid w:val="00D30CBA"/>
    <w:rsid w:val="00D379C4"/>
    <w:rsid w:val="00D571B9"/>
    <w:rsid w:val="00D62F33"/>
    <w:rsid w:val="00D67566"/>
    <w:rsid w:val="00D72E01"/>
    <w:rsid w:val="00D87C5B"/>
    <w:rsid w:val="00DA7F63"/>
    <w:rsid w:val="00DB14B7"/>
    <w:rsid w:val="00DB7849"/>
    <w:rsid w:val="00DC7591"/>
    <w:rsid w:val="00DD574F"/>
    <w:rsid w:val="00DE0F22"/>
    <w:rsid w:val="00DE0F79"/>
    <w:rsid w:val="00DE3844"/>
    <w:rsid w:val="00DE429D"/>
    <w:rsid w:val="00DE4A41"/>
    <w:rsid w:val="00DE58E1"/>
    <w:rsid w:val="00DE6CAD"/>
    <w:rsid w:val="00E04BFA"/>
    <w:rsid w:val="00E149F3"/>
    <w:rsid w:val="00E3145E"/>
    <w:rsid w:val="00E41EBF"/>
    <w:rsid w:val="00E44C88"/>
    <w:rsid w:val="00E53468"/>
    <w:rsid w:val="00E577A9"/>
    <w:rsid w:val="00E579C2"/>
    <w:rsid w:val="00E621AE"/>
    <w:rsid w:val="00E639C2"/>
    <w:rsid w:val="00E666C7"/>
    <w:rsid w:val="00E840B9"/>
    <w:rsid w:val="00E851F4"/>
    <w:rsid w:val="00E913C1"/>
    <w:rsid w:val="00EA0F17"/>
    <w:rsid w:val="00EA763C"/>
    <w:rsid w:val="00EB209B"/>
    <w:rsid w:val="00EB48EF"/>
    <w:rsid w:val="00EB6C3C"/>
    <w:rsid w:val="00EC0B60"/>
    <w:rsid w:val="00EC3AA0"/>
    <w:rsid w:val="00ED5BFA"/>
    <w:rsid w:val="00ED7732"/>
    <w:rsid w:val="00EE375B"/>
    <w:rsid w:val="00EE744E"/>
    <w:rsid w:val="00EF367D"/>
    <w:rsid w:val="00EF4C08"/>
    <w:rsid w:val="00F11854"/>
    <w:rsid w:val="00F12D62"/>
    <w:rsid w:val="00F244A7"/>
    <w:rsid w:val="00F34927"/>
    <w:rsid w:val="00F36C3C"/>
    <w:rsid w:val="00F37704"/>
    <w:rsid w:val="00F40C92"/>
    <w:rsid w:val="00F50162"/>
    <w:rsid w:val="00F55B0F"/>
    <w:rsid w:val="00F578EB"/>
    <w:rsid w:val="00F61667"/>
    <w:rsid w:val="00F639FF"/>
    <w:rsid w:val="00F66CC7"/>
    <w:rsid w:val="00F72E66"/>
    <w:rsid w:val="00F77BB7"/>
    <w:rsid w:val="00F8209D"/>
    <w:rsid w:val="00F90257"/>
    <w:rsid w:val="00F93390"/>
    <w:rsid w:val="00F93989"/>
    <w:rsid w:val="00F94B2A"/>
    <w:rsid w:val="00FA6FEA"/>
    <w:rsid w:val="00FB0C31"/>
    <w:rsid w:val="00FB172C"/>
    <w:rsid w:val="00FC0FC9"/>
    <w:rsid w:val="00FC49BC"/>
    <w:rsid w:val="00FD5C99"/>
    <w:rsid w:val="00FD7061"/>
    <w:rsid w:val="00FE0558"/>
    <w:rsid w:val="00FE3A7C"/>
    <w:rsid w:val="00FF08CC"/>
    <w:rsid w:val="00FF4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9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olor w:val="000000"/>
      <w:sz w:val="24"/>
      <w:szCs w:val="24"/>
      <w:u w:color="00000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Page">
    <w:name w:val="ConsPlusTitlePage"/>
    <w:uiPriority w:val="99"/>
    <w:rsid w:val="00AE13ED"/>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Tahoma" w:hAnsi="Tahoma" w:cs="Arial Unicode MS"/>
      <w:color w:val="000000"/>
      <w:sz w:val="20"/>
      <w:szCs w:val="20"/>
      <w:u w:color="000000"/>
    </w:rPr>
  </w:style>
  <w:style w:type="paragraph" w:customStyle="1" w:styleId="ConsPlusTitle">
    <w:name w:val="ConsPlusTitle"/>
    <w:uiPriority w:val="99"/>
    <w:rsid w:val="00AE13ED"/>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b/>
      <w:bCs/>
      <w:color w:val="000000"/>
      <w:u w:color="000000"/>
    </w:rPr>
  </w:style>
  <w:style w:type="paragraph" w:customStyle="1" w:styleId="ConsPlusNormal">
    <w:name w:val="ConsPlusNormal"/>
    <w:uiPriority w:val="99"/>
    <w:rsid w:val="00AE13ED"/>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rPr>
  </w:style>
  <w:style w:type="paragraph" w:styleId="Header">
    <w:name w:val="header"/>
    <w:basedOn w:val="Normal"/>
    <w:link w:val="HeaderChar"/>
    <w:uiPriority w:val="99"/>
    <w:rsid w:val="00AE13ED"/>
    <w:pPr>
      <w:tabs>
        <w:tab w:val="center" w:pos="4677"/>
        <w:tab w:val="right" w:pos="9355"/>
      </w:tabs>
    </w:pPr>
    <w:rPr>
      <w:rFonts w:eastAsia="Calibri" w:cs="Arial Unicode MS"/>
    </w:rPr>
  </w:style>
  <w:style w:type="character" w:customStyle="1" w:styleId="HeaderChar">
    <w:name w:val="Header Char"/>
    <w:basedOn w:val="DefaultParagraphFont"/>
    <w:link w:val="Header"/>
    <w:uiPriority w:val="99"/>
    <w:locked/>
    <w:rsid w:val="00AE13ED"/>
    <w:rPr>
      <w:rFonts w:ascii="Times New Roman" w:eastAsia="Times New Roman" w:hAnsi="Times New Roman" w:cs="Arial Unicode MS"/>
      <w:color w:val="000000"/>
      <w:sz w:val="24"/>
      <w:szCs w:val="24"/>
      <w:u w:color="000000"/>
      <w:lang w:val="en-US" w:eastAsia="ru-RU" w:bidi="ar-SA"/>
    </w:rPr>
  </w:style>
  <w:style w:type="character" w:styleId="PlaceholderText">
    <w:name w:val="Placeholder Text"/>
    <w:basedOn w:val="DefaultParagraphFont"/>
    <w:uiPriority w:val="99"/>
    <w:semiHidden/>
    <w:rsid w:val="00AE13ED"/>
    <w:rPr>
      <w:rFonts w:cs="Times New Roman"/>
      <w:color w:val="808080"/>
    </w:rPr>
  </w:style>
  <w:style w:type="table" w:styleId="TableGrid">
    <w:name w:val="Table Grid"/>
    <w:basedOn w:val="TableNormal"/>
    <w:uiPriority w:val="99"/>
    <w:rsid w:val="00AE13E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E13ED"/>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Calibri" w:eastAsia="Calibri" w:hAnsi="Calibri"/>
      <w:color w:val="auto"/>
      <w:sz w:val="22"/>
      <w:szCs w:val="22"/>
      <w:lang w:val="ru-RU" w:eastAsia="en-US"/>
    </w:rPr>
  </w:style>
  <w:style w:type="table" w:customStyle="1" w:styleId="-11">
    <w:name w:val="Светлый список - Акцент 11"/>
    <w:uiPriority w:val="99"/>
    <w:rsid w:val="00AE13ED"/>
    <w:pPr>
      <w:spacing w:before="60" w:after="60"/>
    </w:pPr>
    <w:rPr>
      <w:rFonts w:eastAsia="Times New Roman"/>
      <w:sz w:val="20"/>
      <w:szCs w:val="20"/>
      <w:lang w:val="en-US"/>
    </w:rPr>
    <w:tblPr>
      <w:tblStyleRowBandSize w:val="1"/>
      <w:tblStyleColBandSize w:val="1"/>
      <w:tblInd w:w="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CellMar>
        <w:top w:w="0" w:type="dxa"/>
        <w:left w:w="108" w:type="dxa"/>
        <w:bottom w:w="0" w:type="dxa"/>
        <w:right w:w="108" w:type="dxa"/>
      </w:tblCellMar>
    </w:tblPr>
    <w:tblStylePr w:type="firstRow">
      <w:pPr>
        <w:spacing w:before="0" w:after="0"/>
      </w:pPr>
      <w:rPr>
        <w:rFonts w:cs="Times New Roman"/>
        <w:b w:val="0"/>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styleId="FootnoteText">
    <w:name w:val="footnote text"/>
    <w:basedOn w:val="Normal"/>
    <w:link w:val="FootnoteTextChar"/>
    <w:uiPriority w:val="99"/>
    <w:semiHidden/>
    <w:rsid w:val="00AE13ED"/>
    <w:pPr>
      <w:pBdr>
        <w:top w:val="none" w:sz="0" w:space="0" w:color="auto"/>
        <w:left w:val="none" w:sz="0" w:space="0" w:color="auto"/>
        <w:bottom w:val="none" w:sz="0" w:space="0" w:color="auto"/>
        <w:right w:val="none" w:sz="0" w:space="0" w:color="auto"/>
        <w:bar w:val="none" w:sz="0" w:color="auto"/>
      </w:pBdr>
    </w:pPr>
    <w:rPr>
      <w:rFonts w:ascii="Calibri" w:hAnsi="Calibri"/>
      <w:color w:val="auto"/>
      <w:sz w:val="20"/>
      <w:szCs w:val="20"/>
      <w:lang w:eastAsia="en-US"/>
    </w:rPr>
  </w:style>
  <w:style w:type="character" w:customStyle="1" w:styleId="FootnoteTextChar">
    <w:name w:val="Footnote Text Char"/>
    <w:basedOn w:val="DefaultParagraphFont"/>
    <w:link w:val="FootnoteText"/>
    <w:uiPriority w:val="99"/>
    <w:semiHidden/>
    <w:locked/>
    <w:rsid w:val="00AE13ED"/>
    <w:rPr>
      <w:rFonts w:eastAsia="Times New Roman" w:cs="Times New Roman"/>
      <w:sz w:val="20"/>
      <w:szCs w:val="20"/>
      <w:lang w:val="en-US"/>
    </w:rPr>
  </w:style>
  <w:style w:type="character" w:styleId="FootnoteReference">
    <w:name w:val="footnote reference"/>
    <w:basedOn w:val="DefaultParagraphFont"/>
    <w:uiPriority w:val="99"/>
    <w:semiHidden/>
    <w:rsid w:val="00AE13ED"/>
    <w:rPr>
      <w:rFonts w:cs="Times New Roman"/>
      <w:vertAlign w:val="superscript"/>
    </w:rPr>
  </w:style>
  <w:style w:type="character" w:styleId="PageNumber">
    <w:name w:val="page number"/>
    <w:basedOn w:val="DefaultParagraphFont"/>
    <w:uiPriority w:val="99"/>
    <w:rsid w:val="00AE13ED"/>
    <w:rPr>
      <w:rFonts w:cs="Times New Roman"/>
    </w:rPr>
  </w:style>
  <w:style w:type="character" w:styleId="Hyperlink">
    <w:name w:val="Hyperlink"/>
    <w:basedOn w:val="DefaultParagraphFont"/>
    <w:uiPriority w:val="99"/>
    <w:rsid w:val="00AE13ED"/>
    <w:rPr>
      <w:rFonts w:cs="Times New Roman"/>
      <w:color w:val="0563C1"/>
      <w:u w:val="single"/>
    </w:rPr>
  </w:style>
  <w:style w:type="paragraph" w:styleId="BalloonText">
    <w:name w:val="Balloon Text"/>
    <w:basedOn w:val="Normal"/>
    <w:link w:val="BalloonTextChar"/>
    <w:uiPriority w:val="99"/>
    <w:semiHidden/>
    <w:rsid w:val="00AE13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3ED"/>
    <w:rPr>
      <w:rFonts w:ascii="Tahoma" w:hAnsi="Tahoma" w:cs="Tahoma"/>
      <w:color w:val="000000"/>
      <w:sz w:val="16"/>
      <w:szCs w:val="16"/>
      <w:u w:color="000000"/>
      <w:lang w:val="en-US" w:eastAsia="ru-RU"/>
    </w:rPr>
  </w:style>
  <w:style w:type="paragraph" w:styleId="Footer">
    <w:name w:val="footer"/>
    <w:basedOn w:val="Normal"/>
    <w:link w:val="FooterChar"/>
    <w:uiPriority w:val="99"/>
    <w:rsid w:val="00C7299C"/>
    <w:pPr>
      <w:tabs>
        <w:tab w:val="center" w:pos="4677"/>
        <w:tab w:val="right" w:pos="9355"/>
      </w:tabs>
    </w:pPr>
  </w:style>
  <w:style w:type="character" w:customStyle="1" w:styleId="FooterChar">
    <w:name w:val="Footer Char"/>
    <w:basedOn w:val="DefaultParagraphFont"/>
    <w:link w:val="Footer"/>
    <w:uiPriority w:val="99"/>
    <w:locked/>
    <w:rsid w:val="00C7299C"/>
    <w:rPr>
      <w:rFonts w:ascii="Times New Roman" w:hAnsi="Times New Roman" w:cs="Times New Roman"/>
      <w:color w:val="000000"/>
      <w:sz w:val="24"/>
      <w:szCs w:val="24"/>
      <w:u w:color="000000"/>
      <w:lang w:val="en-US" w:eastAsia="ru-RU"/>
    </w:rPr>
  </w:style>
</w:styles>
</file>

<file path=word/webSettings.xml><?xml version="1.0" encoding="utf-8"?>
<w:webSettings xmlns:r="http://schemas.openxmlformats.org/officeDocument/2006/relationships" xmlns:w="http://schemas.openxmlformats.org/wordprocessingml/2006/main">
  <w:divs>
    <w:div w:id="391539946">
      <w:marLeft w:val="0"/>
      <w:marRight w:val="0"/>
      <w:marTop w:val="0"/>
      <w:marBottom w:val="0"/>
      <w:divBdr>
        <w:top w:val="none" w:sz="0" w:space="0" w:color="auto"/>
        <w:left w:val="none" w:sz="0" w:space="0" w:color="auto"/>
        <w:bottom w:val="none" w:sz="0" w:space="0" w:color="auto"/>
        <w:right w:val="none" w:sz="0" w:space="0" w:color="auto"/>
      </w:divBdr>
    </w:div>
    <w:div w:id="391539947">
      <w:marLeft w:val="0"/>
      <w:marRight w:val="0"/>
      <w:marTop w:val="0"/>
      <w:marBottom w:val="0"/>
      <w:divBdr>
        <w:top w:val="none" w:sz="0" w:space="0" w:color="auto"/>
        <w:left w:val="none" w:sz="0" w:space="0" w:color="auto"/>
        <w:bottom w:val="none" w:sz="0" w:space="0" w:color="auto"/>
        <w:right w:val="none" w:sz="0" w:space="0" w:color="auto"/>
      </w:divBdr>
    </w:div>
    <w:div w:id="391539948">
      <w:marLeft w:val="0"/>
      <w:marRight w:val="0"/>
      <w:marTop w:val="0"/>
      <w:marBottom w:val="0"/>
      <w:divBdr>
        <w:top w:val="none" w:sz="0" w:space="0" w:color="auto"/>
        <w:left w:val="none" w:sz="0" w:space="0" w:color="auto"/>
        <w:bottom w:val="none" w:sz="0" w:space="0" w:color="auto"/>
        <w:right w:val="none" w:sz="0" w:space="0" w:color="auto"/>
      </w:divBdr>
    </w:div>
    <w:div w:id="391539949">
      <w:marLeft w:val="0"/>
      <w:marRight w:val="0"/>
      <w:marTop w:val="0"/>
      <w:marBottom w:val="0"/>
      <w:divBdr>
        <w:top w:val="none" w:sz="0" w:space="0" w:color="auto"/>
        <w:left w:val="none" w:sz="0" w:space="0" w:color="auto"/>
        <w:bottom w:val="none" w:sz="0" w:space="0" w:color="auto"/>
        <w:right w:val="none" w:sz="0" w:space="0" w:color="auto"/>
      </w:divBdr>
    </w:div>
    <w:div w:id="391539951">
      <w:marLeft w:val="0"/>
      <w:marRight w:val="0"/>
      <w:marTop w:val="0"/>
      <w:marBottom w:val="0"/>
      <w:divBdr>
        <w:top w:val="none" w:sz="0" w:space="0" w:color="auto"/>
        <w:left w:val="none" w:sz="0" w:space="0" w:color="auto"/>
        <w:bottom w:val="none" w:sz="0" w:space="0" w:color="auto"/>
        <w:right w:val="none" w:sz="0" w:space="0" w:color="auto"/>
      </w:divBdr>
    </w:div>
    <w:div w:id="391539952">
      <w:marLeft w:val="0"/>
      <w:marRight w:val="0"/>
      <w:marTop w:val="0"/>
      <w:marBottom w:val="0"/>
      <w:divBdr>
        <w:top w:val="none" w:sz="0" w:space="0" w:color="auto"/>
        <w:left w:val="none" w:sz="0" w:space="0" w:color="auto"/>
        <w:bottom w:val="none" w:sz="0" w:space="0" w:color="auto"/>
        <w:right w:val="none" w:sz="0" w:space="0" w:color="auto"/>
      </w:divBdr>
    </w:div>
    <w:div w:id="391539953">
      <w:marLeft w:val="0"/>
      <w:marRight w:val="0"/>
      <w:marTop w:val="0"/>
      <w:marBottom w:val="0"/>
      <w:divBdr>
        <w:top w:val="none" w:sz="0" w:space="0" w:color="auto"/>
        <w:left w:val="none" w:sz="0" w:space="0" w:color="auto"/>
        <w:bottom w:val="none" w:sz="0" w:space="0" w:color="auto"/>
        <w:right w:val="none" w:sz="0" w:space="0" w:color="auto"/>
      </w:divBdr>
      <w:divsChild>
        <w:div w:id="391539950">
          <w:marLeft w:val="0"/>
          <w:marRight w:val="0"/>
          <w:marTop w:val="0"/>
          <w:marBottom w:val="0"/>
          <w:divBdr>
            <w:top w:val="none" w:sz="0" w:space="0" w:color="auto"/>
            <w:left w:val="none" w:sz="0" w:space="0" w:color="auto"/>
            <w:bottom w:val="none" w:sz="0" w:space="0" w:color="auto"/>
            <w:right w:val="none" w:sz="0" w:space="0" w:color="auto"/>
          </w:divBdr>
        </w:div>
        <w:div w:id="391539955">
          <w:marLeft w:val="0"/>
          <w:marRight w:val="0"/>
          <w:marTop w:val="0"/>
          <w:marBottom w:val="0"/>
          <w:divBdr>
            <w:top w:val="none" w:sz="0" w:space="0" w:color="auto"/>
            <w:left w:val="none" w:sz="0" w:space="0" w:color="auto"/>
            <w:bottom w:val="none" w:sz="0" w:space="0" w:color="auto"/>
            <w:right w:val="none" w:sz="0" w:space="0" w:color="auto"/>
          </w:divBdr>
        </w:div>
      </w:divsChild>
    </w:div>
    <w:div w:id="391539954">
      <w:marLeft w:val="0"/>
      <w:marRight w:val="0"/>
      <w:marTop w:val="0"/>
      <w:marBottom w:val="0"/>
      <w:divBdr>
        <w:top w:val="none" w:sz="0" w:space="0" w:color="auto"/>
        <w:left w:val="none" w:sz="0" w:space="0" w:color="auto"/>
        <w:bottom w:val="none" w:sz="0" w:space="0" w:color="auto"/>
        <w:right w:val="none" w:sz="0" w:space="0" w:color="auto"/>
      </w:divBdr>
    </w:div>
    <w:div w:id="391539956">
      <w:marLeft w:val="0"/>
      <w:marRight w:val="0"/>
      <w:marTop w:val="0"/>
      <w:marBottom w:val="0"/>
      <w:divBdr>
        <w:top w:val="none" w:sz="0" w:space="0" w:color="auto"/>
        <w:left w:val="none" w:sz="0" w:space="0" w:color="auto"/>
        <w:bottom w:val="none" w:sz="0" w:space="0" w:color="auto"/>
        <w:right w:val="none" w:sz="0" w:space="0" w:color="auto"/>
      </w:divBdr>
    </w:div>
    <w:div w:id="391539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38</Pages>
  <Words>13772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Родионова Юлия Сергеевна</dc:creator>
  <cp:keywords/>
  <dc:description>exif_MSED_bf9279a393bd6b3f5b4ddc018c71b28d1a5a7b907be439956612a44ea0fcca0d</dc:description>
  <cp:lastModifiedBy>Admin</cp:lastModifiedBy>
  <cp:revision>2</cp:revision>
  <cp:lastPrinted>2018-12-20T07:00:00Z</cp:lastPrinted>
  <dcterms:created xsi:type="dcterms:W3CDTF">2018-12-29T07:13:00Z</dcterms:created>
  <dcterms:modified xsi:type="dcterms:W3CDTF">2018-12-29T07:13:00Z</dcterms:modified>
</cp:coreProperties>
</file>