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результатах контрольного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нешняя проверка </w:t>
      </w:r>
    </w:p>
    <w:p>
      <w:pPr>
        <w:pStyle w:val="Normal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бюджетной отчетности главного администратора бюджетных средств</w:t>
      </w:r>
    </w:p>
    <w:p>
      <w:pPr>
        <w:pStyle w:val="Normal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—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Администрации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</w:tabs>
        <w:snapToGrid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8"/>
          <w:kern w:val="2"/>
          <w:sz w:val="28"/>
          <w:szCs w:val="28"/>
          <w:lang w:val="ru-RU" w:eastAsia="hi-IN" w:bidi="hi-IN"/>
        </w:rPr>
        <w:t xml:space="preserve"> 2.5 Плана работы Контрольно-счетной палаты городского округа Фрязино, утвержденного распоряжением предсе</w:t>
        <w:softHyphen/>
        <w:t>дателя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 Контрольно-счетной палаты от  20.12.2024  № 60, </w:t>
      </w:r>
      <w:r>
        <w:rPr>
          <w:rFonts w:cs="Times New Roman" w:ascii="Times New Roman" w:hAnsi="Times New Roman"/>
          <w:sz w:val="28"/>
          <w:szCs w:val="28"/>
        </w:rPr>
        <w:t>в период с 08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18</w:t>
      </w:r>
      <w:r>
        <w:rPr>
          <w:rFonts w:cs="Times New Roman" w:ascii="Times New Roman" w:hAnsi="Times New Roman"/>
          <w:sz w:val="28"/>
          <w:szCs w:val="28"/>
        </w:rPr>
        <w:t xml:space="preserve"> апреля 2025 года Контрольно-счетной палатой проведено контрольное мероприятие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нешняя проверка бюджетной отчетности главного администратора бюджетных средств — Администрации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ab/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 28.03.2025 № 08.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position w:val="0"/>
          <w:sz w:val="25"/>
          <w:sz w:val="28"/>
          <w:szCs w:val="28"/>
          <w:shd w:fill="auto" w:val="clear"/>
          <w:vertAlign w:val="baseline"/>
          <w:em w:val="none"/>
          <w:lang w:eastAsia="ru-RU" w:bidi="hi-IN"/>
        </w:rPr>
        <w:t xml:space="preserve">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/>
      </w:pP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 xml:space="preserve">       </w:t>
      </w: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>В результате контрольного мероприятия установлено: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r>
    </w:p>
    <w:p>
      <w:pPr>
        <w:pStyle w:val="Style41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1. </w:t>
      </w: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sz w:val="28"/>
          <w:szCs w:val="28"/>
          <w:em w:val="none"/>
          <w:lang w:eastAsia="ru-RU"/>
        </w:rPr>
        <w:t xml:space="preserve">Администрация городского округа Фрязино  </w:t>
      </w:r>
      <w:r>
        <w:rPr>
          <w:rStyle w:val="Style13"/>
          <w:rFonts w:eastAsia="Arial"/>
          <w:bCs w:val="false"/>
          <w:iCs w:val="false"/>
          <w:outline w:val="false"/>
          <w:shadow w:val="false"/>
          <w:color w:val="000000"/>
          <w:sz w:val="28"/>
          <w:szCs w:val="28"/>
          <w:u w:val="none"/>
          <w:em w:val="none"/>
          <w:lang w:eastAsia="hi-IN" w:bidi="hi-IN"/>
        </w:rPr>
        <w:t xml:space="preserve"> </w:t>
      </w: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sz w:val="28"/>
          <w:szCs w:val="28"/>
          <w:em w:val="none"/>
          <w:lang w:eastAsia="ru-RU"/>
        </w:rPr>
        <w:t xml:space="preserve">— исполнительно-распорядительный орган городского округа, обладает правами юридического лица. Согласно статьям 28, 29 Устава городского округа Фрязино, принятого решением Совета депутатов города Фрязино от 01.03.2000 № 19 (с изм.), Администрация исполняет полномочия по решению вопросов местного значения, в том числе по составлению проекта местного бюджета, исполнению местного бюджета, осуществлению контроля за его исполнением, составлению отчета об исполнении местного бюджета с соблюдением требований, установленных Бюджетным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кодексом Российской Федерации.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Ведение бухгалтерского, бюджетного, налогового и статистического учета и отчетности Управления образования и подведомственных ему учреждений осуществлял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МКУ города Фрязино «Центр бюджетного сопровождения» (далее - МКУ ЦБС)</w:t>
      </w: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на основании Соглашения № 1 от 12.12.2016.</w:t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Основанием для проведения внешней проверки годовой бюджетной  отчетности главного администратора бюджетных средств — Контрольно- счетной палаты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является статья 264.4 Бюджетного Кодекса Российской Федерации, статьи 9,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статья 15 Положения «О бюджетном процессе в городском округе Фрязино Московской области», утвержденного решением Совета депутатов города Фрязино от 15.02.2021 № 45/12, статьи 9, 11 Положения «О Контрольно-счетной палате городского округа Фрязино», утвержденного решением Совета депутатов городского округа Фрязино от 15.10.2021 № 105/24 (с изм).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2.  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Приказом Министерства финансов РФ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от 23.12.2010 № 191н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(далее — Инструкция № 191н).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В нарушение пунктов 11.1 и 152 Инструкции № 191н   к настоящей проверке не представлены формы: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Справка о суммах консолидируемых поступлений, подлежащих зачислению на счет бюджета (ф. 0503184);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57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Сведения об исполнении мероприятий в рамках целевых программ (ф. 0503166).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Отсутствие данных формы не отражено в Пояснительной записке (ф. 0503160).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Кроме того, в нарушение пункта 152 Инструкции № 191н   к проверке представлена форма Сведения о количестве подведомственных участников бюджетного процесса, учреждений и государственных (муниципальных) унитарных предприятий (ф. 0503161), исключенная из представляемых форм Приказом Минфина России от 31.01.2020 N 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N 191н".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В нарушение пункта 155 Инструкции № 191н к проверке  представлены неполные сведения по следующим разделам Пояснительной записки: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- в Таблице № 3 указаны не все текстовые статьи закона (решения) о бюджете, имеющие отношение к деятельности субъекта бюджетной отчетности,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 (статьи 14.1, 18.6 решения Совета депутатов от 12.12.2023 № 409/71 «О бюджете городского округа Фрязино на 2024 год и на плановый период 2025 и 2026 годов» с изменениями от 17.12.2024 № 518/90).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нарушение пункта 159.7 Инструкции № 191н к проверке  не представлена Таблица № 14 «Анализ показателей отчетности субъекта бюджетной отчетности» Пояснительной записки.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3. При проверке Сведений о движении нефинансовых активов (ф. 0503168) по строке 510 установлены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непроизведенные активы в составе имущества казны, а именно на начало года —2 731 282 052,46 руб., на конец года — 2 700 053 242,61 руб., что соответствует данным бухгалтерского учета 108.55 «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Непроизведенные активы, составляющие казну».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 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Согласно оборотной ведомости по нефинансовым активам за 2024 год по счету </w:t>
      </w:r>
      <w:r>
        <w:rPr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color w:val="000000"/>
          <w:spacing w:val="8"/>
          <w:sz w:val="28"/>
          <w:szCs w:val="28"/>
          <w:u w:val="none"/>
          <w:shd w:fill="auto" w:val="clear"/>
          <w:lang w:eastAsia="ru-RU"/>
        </w:rPr>
        <w:t>108.55 «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Непроизведенные активы, составляющие казну» числятся следующие  земельные участки:</w:t>
      </w:r>
    </w:p>
    <w:p>
      <w:pPr>
        <w:pStyle w:val="Normal"/>
        <w:bidi w:val="0"/>
        <w:jc w:val="left"/>
        <w:rPr/>
      </w:pPr>
      <w:r>
        <w:rPr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u w:val="none"/>
          <w:shd w:fill="auto" w:val="clear"/>
          <w:em w:val="none"/>
          <w:lang w:eastAsia="ru-RU"/>
        </w:rPr>
        <w:t xml:space="preserve">-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под зданием по ул. </w:t>
      </w:r>
      <w:r>
        <w:rPr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u w:val="none"/>
          <w:shd w:fill="auto" w:val="clear"/>
          <w:em w:val="none"/>
          <w:lang w:eastAsia="ru-RU"/>
        </w:rPr>
        <w:t>О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зерная, д. 6, стр. 4,  стоимостью 10 654 768,80 руб. (кадастровый номер 50:44:0030201:741)</w:t>
      </w:r>
    </w:p>
    <w:p>
      <w:pPr>
        <w:pStyle w:val="Normal"/>
        <w:bidi w:val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-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под теннисным кортом  по ул. Вокзальная, д. 1, стоимостью 5 696 279,82 руб.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00" w:val="clear"/>
          <w:em w:val="none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(кадастровый номер 50:44:0010201:589).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Земельный участок  под зданием по ул.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О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зерная, д. 6, стр. 4, кадастровый номер 50:44:0030201:741, площадью 2010 кв.м. на основании договора купли-продажи земельного участка № 2/2023 от 24.04.2023 продан ООО фирме «Вавилон». Согласно выписке из ЕГРН от 28.06.2023 ООО фирма «Вавилон» зарегистрировало право собственности на данный земельный участок 28.06.2023. Однако, данный участок состоит на учете в составе имущества казны по состоянию на 01.01.2024 и на 01.01.2025.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Таким образом, в нарушение статьи 10 Федерального закона от 6 декабря 2011 г. № 402-ФЗ «О бухгалтерском учете» (далее — Закон № 402-ФЗ) были нарушены требования, предъявляемые к оформлению и ведению регистров бухгалтерского учета, что привело к завышению показателя по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строке 510 (ф. 0503168) (непроизведенные активы в составе имущества казны) и п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оказателя строки 140 Баланса (ф. 0503130) (нефинансовые активы имущества казны).</w:t>
      </w:r>
    </w:p>
    <w:p>
      <w:pPr>
        <w:pStyle w:val="Normal"/>
        <w:widowControl w:val="false"/>
        <w:rPr/>
      </w:pPr>
      <w:r>
        <w:rPr>
          <w:b/>
          <w:bCs/>
          <w:i/>
          <w:iCs/>
          <w:color w:val="FF0000"/>
          <w:kern w:val="2"/>
          <w:sz w:val="28"/>
          <w:szCs w:val="28"/>
        </w:rPr>
        <w:t xml:space="preserve">         </w:t>
      </w:r>
      <w:r>
        <w:rPr>
          <w:b w:val="false"/>
          <w:bCs w:val="false"/>
          <w:i w:val="false"/>
          <w:iCs w:val="false"/>
          <w:color w:val="auto"/>
          <w:kern w:val="2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color w:val="auto"/>
          <w:kern w:val="2"/>
          <w:sz w:val="28"/>
          <w:szCs w:val="28"/>
        </w:rPr>
        <w:t xml:space="preserve">Сумма нарушений составила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10 654 768,80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руб.</w:t>
      </w:r>
      <w:r>
        <w:rPr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8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</w:t>
      </w:r>
    </w:p>
    <w:p>
      <w:pPr>
        <w:pStyle w:val="Normal"/>
        <w:bidi w:val="0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 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sz w:val="28"/>
          <w:szCs w:val="28"/>
          <w:u w:val="none"/>
          <w:shd w:fill="auto" w:val="clear"/>
          <w:em w:val="none"/>
          <w:lang w:eastAsia="ru-RU"/>
        </w:rPr>
        <w:t>Теннисный корт  по ул. Вокзальная, д. 1 находится в оперативном управлении МБУ ДО «СШ Олимп» (выписка из ЕГРН от 25.03.2020 № 99/2020/321842602). Однако, до настоящего времени земельный участок, кадастровый номер 50:44:0010201:589, площадью 1449 кв.м не передан на праве постоянного (бессрочного) пользования в МБУ ДО «СШ Олимп», а числится в составе имущества казны.</w:t>
      </w:r>
    </w:p>
    <w:p>
      <w:pPr>
        <w:pStyle w:val="Normal"/>
        <w:bidi w:val="0"/>
        <w:spacing w:before="0" w:after="57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Тем самым нарушается принцип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 единства судьбы земельных участков и прочно связанных с ними объектов, установленный подпунктом 5 пункта 1 статьи 1 Земельного кодекса РФ.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>
          <w:rStyle w:val="Style13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>4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. </w:t>
      </w:r>
      <w:r>
        <w:rPr>
          <w:rStyle w:val="Style13"/>
          <w:rFonts w:eastAsia="Arial"/>
          <w:bCs/>
          <w:iCs/>
          <w:outline w:val="false"/>
          <w:shadow w:val="false"/>
          <w:color w:val="000000"/>
          <w:kern w:val="2"/>
          <w:position w:val="0"/>
          <w:sz w:val="25"/>
          <w:sz w:val="28"/>
          <w:szCs w:val="28"/>
          <w:highlight w:val="white"/>
          <w:shd w:fill="auto" w:val="clear"/>
          <w:vertAlign w:val="baseline"/>
          <w:em w:val="none"/>
          <w:lang w:val="ru-RU" w:eastAsia="ru-RU" w:bidi="hi-IN"/>
        </w:rPr>
        <w:t>Бюджетная отчетность Администрации по подведомственным учреждениям соответствует требованиям  приказа Минфина России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</w:p>
    <w:p>
      <w:pPr>
        <w:pStyle w:val="Normal"/>
        <w:spacing w:lineRule="auto" w:line="240"/>
        <w:ind w:left="0" w:right="0" w:firstLine="540"/>
        <w:jc w:val="both"/>
        <w:rPr/>
      </w:pPr>
      <w:r>
        <w:rPr>
          <w:rStyle w:val="Style13"/>
          <w:rFonts w:eastAsia="Arial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При проверке отчетности «Сведения по дебиторской и кредиторской задолженности учреждения» (дебиторская) (ф. 0503769) установлено, что в ней не отражены начисления по представлениям Контрольно-счетной палаты по счету 20900000 «</w:t>
      </w: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Расчеты по ущербу и иным доходам», а именно:</w:t>
      </w:r>
    </w:p>
    <w:p>
      <w:pPr>
        <w:pStyle w:val="Normal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27.08.2021 № 01-20/16 МУ ДО ФДШИ  не отражена дебиторская задолженность на 01.01.2024 в сумме 400 906,61 руб. и на 01.01.2025 — 378 906,61 руб.</w:t>
      </w:r>
    </w:p>
    <w:p>
      <w:pPr>
        <w:pStyle w:val="Normal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 xml:space="preserve">- по Представлению </w:t>
      </w:r>
      <w:r>
        <w:rPr>
          <w:rStyle w:val="Style13"/>
          <w:rFonts w:eastAsia="Arial"/>
          <w:bCs/>
          <w:iCs/>
          <w:color w:val="000000"/>
          <w:szCs w:val="28"/>
          <w:highlight w:val="white"/>
          <w:shd w:fill="auto" w:val="clear"/>
          <w:lang w:eastAsia="ru-RU"/>
        </w:rPr>
        <w:t>о</w:t>
      </w: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т 08 11 2022 № 01-13/04 МУ «ЦКиД «Факел»  не отражена дебиторская задолженность на 01.01.2024 в сумме 329 195,40 руб. и на 01.01.2025 — 0 руб.</w:t>
      </w:r>
    </w:p>
    <w:p>
      <w:pPr>
        <w:pStyle w:val="Normal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14.11.2024 № 01-13/31 МБУ  ДО СШ «Фрязино» не отражена дебиторская задолженность на 01.01.2025 в сумме 484 778,84 руб.</w:t>
      </w:r>
    </w:p>
    <w:p>
      <w:pPr>
        <w:pStyle w:val="Normal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19.12.2024 № 01-13/34 МУ «МЦ г. Фрязино» не отражена дебиторская задолженность на 01.01.2025 в сумме 42 264,28 руб.</w:t>
      </w:r>
    </w:p>
    <w:p>
      <w:pPr>
        <w:pStyle w:val="Normal"/>
        <w:ind w:left="0" w:right="0" w:firstLine="540"/>
        <w:jc w:val="both"/>
        <w:rPr/>
      </w:pPr>
      <w:r>
        <w:rPr>
          <w:rStyle w:val="Style13"/>
          <w:rFonts w:eastAsia="Arial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 xml:space="preserve">Таким образом,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по состоянию на 01.01.2024 занижен показатель по </w:t>
      </w:r>
      <w:r>
        <w:rPr>
          <w:rStyle w:val="Style13"/>
          <w:rFonts w:eastAsia="Arial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>счету 20900000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 (ф. 0503769) и показатель графы 4 строки 250 Баланса (ф. 0503730)  на сумму 730 102,01 руб. Н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а 01.01.2025 занижен показатель по </w:t>
      </w:r>
      <w:r>
        <w:rPr>
          <w:rStyle w:val="Style13"/>
          <w:rFonts w:eastAsia="Arial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>счету 20900000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 (ф. 0503769) и показатель графы 8 строки 250 Баланса (ф. 0503730)  на сумму 905 949,73 руб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C9211E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>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spacing w:lineRule="auto" w:line="240" w:before="0" w:after="113"/>
        <w:ind w:left="-15" w:right="0" w:hanging="45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   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Данные нарушения обусловлены не предоставлением (предоставлением не в полном объеме) в МКУ ЦБС учреждениями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>первичных документов (приказов) об удержании денежных средств из заработной платы сотрудников либо о возмещении средств в бюджет городского округа за счет остатков средств на счетах учреждений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auto" w:val="clear"/>
          <w:em w:val="none"/>
          <w:lang w:eastAsia="ru-RU"/>
        </w:rPr>
        <w:t>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/>
      </w:pPr>
      <w:r>
        <w:rPr>
          <w:rFonts w:eastAsia="Times New Roman"/>
          <w:spacing w:val="8"/>
          <w:sz w:val="28"/>
          <w:szCs w:val="28"/>
          <w:shd w:fill="auto" w:val="clear"/>
        </w:rPr>
        <w:t xml:space="preserve"> </w:t>
      </w:r>
      <w:r>
        <w:rPr>
          <w:rFonts w:eastAsia="Times New Roman" w:ascii="Times New Roman" w:hAnsi="Times New Roman"/>
          <w:spacing w:val="8"/>
          <w:sz w:val="28"/>
          <w:szCs w:val="28"/>
          <w:shd w:fill="auto" w:val="clear"/>
        </w:rPr>
        <w:t xml:space="preserve"> </w:t>
      </w:r>
      <w:r>
        <w:rPr>
          <w:rFonts w:eastAsia="Times New Roman" w:ascii="Times New Roman" w:hAnsi="Times New Roman"/>
          <w:bCs/>
          <w:color w:val="000000"/>
          <w:spacing w:val="8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pacing w:val="8"/>
          <w:sz w:val="28"/>
          <w:szCs w:val="28"/>
          <w:shd w:fill="auto" w:val="clear"/>
          <w:lang w:eastAsia="ru-RU"/>
        </w:rPr>
        <w:t>5</w:t>
      </w:r>
      <w:r>
        <w:rPr>
          <w:rFonts w:eastAsia="Times New Roman" w:ascii="Times New Roman" w:hAnsi="Times New Roman"/>
          <w:bCs/>
          <w:color w:val="000000"/>
          <w:spacing w:val="8"/>
          <w:sz w:val="28"/>
          <w:szCs w:val="28"/>
          <w:shd w:fill="auto" w:val="clear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pacing w:val="8"/>
          <w:sz w:val="28"/>
          <w:szCs w:val="28"/>
          <w:u w:val="none"/>
          <w:shd w:fill="auto" w:val="clear"/>
          <w:lang w:eastAsia="ru-RU"/>
        </w:rPr>
        <w:t xml:space="preserve">В соответствии с Приказом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приказаом директора МКУ ЦБС № 02/01-04 от 28.03.2024 утверждена Единая учетная политика централизованного бухгалтерского учета. 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/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В нарушение Единой учетной политики не проведена обязательная ежегодная инвентаризация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u w:val="none"/>
          <w:shd w:fill="auto" w:val="clear"/>
          <w:em w:val="none"/>
          <w:lang w:eastAsia="ru-RU"/>
        </w:rPr>
        <w:t xml:space="preserve">денежных средств, финансовых вложений, расчетов по кредитам, займам (ссудам), доходов будущих периодов Администрации на 01.01.2025. 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/>
      </w:pPr>
      <w:r>
        <w:rPr>
          <w:rFonts w:eastAsia="Times New Roman" w:cs="Times New Roman" w:ascii="Times New Roman" w:hAnsi="Times New Roman"/>
          <w:bCs/>
          <w:color w:val="auto"/>
          <w:spacing w:val="8"/>
          <w:sz w:val="28"/>
          <w:szCs w:val="28"/>
          <w:lang w:eastAsia="ru-RU"/>
        </w:rPr>
        <w:t xml:space="preserve">     </w:t>
      </w:r>
      <w:r>
        <w:rPr>
          <w:rFonts w:eastAsia="Arial" w:cs="Times New Roman" w:ascii="Times New Roman" w:hAnsi="Times New Roman"/>
          <w:bCs/>
          <w:color w:val="auto"/>
          <w:spacing w:val="8"/>
          <w:sz w:val="28"/>
          <w:szCs w:val="28"/>
          <w:lang w:eastAsia="ru-RU"/>
        </w:rPr>
        <w:t>Кроме того, в нарушение пункта 2.6 Порядка проведения инвентаризации активов и обязательств (приложение 8 к Единой учетной политике) к инвентаризации дебиторской и кредиторской задолженности не приложены оборотно-сальдовые ведомости.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 w:cs="Times New Roman"/>
          <w:bCs/>
          <w:color w:val="auto"/>
          <w:spacing w:val="8"/>
          <w:sz w:val="28"/>
          <w:szCs w:val="28"/>
          <w:lang w:eastAsia="ru-RU"/>
        </w:rPr>
      </w:pPr>
      <w:r>
        <w:rPr>
          <w:rFonts w:eastAsia="Arial" w:cs="Times New Roman" w:ascii="Times New Roman" w:hAnsi="Times New Roman"/>
          <w:bCs/>
          <w:color w:val="auto"/>
          <w:spacing w:val="8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 w:cs="Times New Roman"/>
          <w:bCs/>
          <w:color w:val="auto"/>
          <w:spacing w:val="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Л.А. Панченко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335" w:right="65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>
        <w:rStyle w:val="Style13"/>
        <w:rFonts w:eastAsia="Times New Roman"/>
        <w:b/>
        <w:bCs/>
        <w:iCs w:val="false"/>
        <w:outline w:val="false"/>
        <w:shadow w:val="false"/>
        <w:color w:val="000000"/>
        <w:kern w:val="2"/>
        <w:position w:val="0"/>
        <w:sz w:val="25"/>
        <w:sz w:val="28"/>
        <w:szCs w:val="28"/>
        <w:vertAlign w:val="baseline"/>
        <w:em w:val="none"/>
        <w:lang w:val="ru-RU" w:eastAsia="ru-RU" w:bidi="hi-IN"/>
      </w:rPr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6">
    <w:name w:val="Heading 6"/>
    <w:basedOn w:val="Style19"/>
    <w:next w:val="Style20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Style13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4">
    <w:name w:val="Emphasis"/>
    <w:qFormat/>
    <w:rPr>
      <w:i/>
      <w:iCs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b/>
      <w:sz w:val="28"/>
      <w:szCs w:val="28"/>
    </w:rPr>
  </w:style>
  <w:style w:type="character" w:styleId="WW8Num4z1">
    <w:name w:val="WW8Num4z1"/>
    <w:qFormat/>
    <w:rPr>
      <w:b w:val="false"/>
      <w:sz w:val="28"/>
      <w:szCs w:val="28"/>
    </w:rPr>
  </w:style>
  <w:style w:type="character" w:styleId="Strong">
    <w:name w:val="Strong"/>
    <w:basedOn w:val="Style17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6">
    <w:name w:val="FollowedHyperlink"/>
    <w:rPr>
      <w:color w:val="8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character" w:styleId="Strong1">
    <w:name w:val="Strong1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Style24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24">
    <w:name w:val="Цитата"/>
    <w:basedOn w:val="Normal"/>
    <w:next w:val="BodyText2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next w:val="Style27"/>
    <w:qFormat/>
    <w:pPr/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ru-RU" w:eastAsia="zh-CN" w:bidi="hi-IN"/>
    </w:rPr>
  </w:style>
  <w:style w:type="paragraph" w:styleId="Style32">
    <w:name w:val="Объект со стрелко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3">
    <w:name w:val="Объект с тенью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Объект без заливки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5">
    <w:name w:val="Объект без заливки и лини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6">
    <w:name w:val="Выравнивание текста по ширине"/>
    <w:basedOn w:val="Style31"/>
    <w:qFormat/>
    <w:pPr>
      <w:spacing w:lineRule="atLeast" w:line="200" w:before="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">
    <w:name w:val="Заглавие1"/>
    <w:basedOn w:val="Style31"/>
    <w:qFormat/>
    <w:pPr>
      <w:spacing w:lineRule="atLeast" w:line="200" w:before="0" w:after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">
    <w:name w:val="Заглавие2"/>
    <w:basedOn w:val="Style31"/>
    <w:qFormat/>
    <w:pPr>
      <w:spacing w:lineRule="atLeast" w:line="200" w:before="57" w:after="57"/>
      <w:ind w:left="0" w:right="113" w:hanging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7">
    <w:name w:val="Размерная линия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overflowPunct w:val="fals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000000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39">
    <w:name w:val="Фон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0">
    <w:name w:val="Примечания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overflowPunct w:val="fals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21">
    <w:name w:val="Структура 2"/>
    <w:basedOn w:val="1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">
    <w:name w:val="Структура 3"/>
    <w:basedOn w:val="21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1">
    <w:name w:val="Структура 6"/>
    <w:basedOn w:val="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Style41">
    <w:name w:val="Body Text Indent"/>
    <w:basedOn w:val="Normal"/>
    <w:pPr>
      <w:ind w:left="-360" w:right="0" w:hanging="0"/>
    </w:pPr>
    <w:rPr/>
  </w:style>
  <w:style w:type="paragraph" w:styleId="Style42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next w:val="213e34354036383c3e354230313b38464b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next w:val="Style44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43">
    <w:name w:val="Текст выноски"/>
    <w:basedOn w:val="Normal"/>
    <w:next w:val="Style30"/>
    <w:qFormat/>
    <w:pPr/>
    <w:rPr>
      <w:rFonts w:ascii="Tahoma" w:hAnsi="Tahoma" w:cs="Tahoma"/>
      <w:sz w:val="16"/>
      <w:szCs w:val="16"/>
    </w:rPr>
  </w:style>
  <w:style w:type="paragraph" w:styleId="Style44">
    <w:name w:val="Верхний колонтитул слева"/>
    <w:basedOn w:val="Style43"/>
    <w:qFormat/>
    <w:pPr>
      <w:suppressLineNumbers/>
      <w:tabs>
        <w:tab w:val="clear" w:pos="720"/>
        <w:tab w:val="center" w:pos="5069" w:leader="none"/>
        <w:tab w:val="left" w:pos="8505" w:leader="none"/>
        <w:tab w:val="right" w:pos="10139" w:leader="none"/>
      </w:tabs>
    </w:pPr>
    <w:rPr/>
  </w:style>
  <w:style w:type="paragraph" w:styleId="ConsPlusNonformat">
    <w:name w:val="ConsPlusNonformat"/>
    <w:next w:val="NormalWeb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next w:val="ListParagraph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22">
    <w:name w:val="Указатель2"/>
    <w:basedOn w:val="Normal"/>
    <w:next w:val="Style29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Style4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10673</TotalTime>
  <Application>LibreOffice/7.5.7.1$Windows_X86_64 LibreOffice_project/47eb0cf7efbacdee9b19ae25d6752381ede23126</Application>
  <AppVersion>15.0000</AppVersion>
  <Pages>4</Pages>
  <Words>1218</Words>
  <Characters>8041</Characters>
  <CharactersWithSpaces>9560</CharactersWithSpaces>
  <Paragraphs>44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2025-04-16T10:58:00Z</dcterms:created>
  <dc:creator/>
  <dc:description/>
  <dc:language>ru-RU</dc:language>
  <cp:lastModifiedBy/>
  <dcterms:modified xsi:type="dcterms:W3CDTF">2025-05-13T11:49:47Z</dcterms:modified>
  <cp:revision>467</cp:revision>
  <dc:subject/>
  <dc:title>Постановление Правительства МО от 17.05.2013 N 323/18(ред. от 07.10.2024)"Об оплате труда работников государственных учреждений Московской области сферы культуры"(вместе с "Положением об оплате труда работников государственных учреждений Московской области сферы культуры")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