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cs="Times New Roman"/>
          <w:sz w:val="20"/>
          <w:szCs w:val="2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7620</wp:posOffset>
            </wp:positionH>
            <wp:positionV relativeFrom="paragraph">
              <wp:posOffset>29845</wp:posOffset>
            </wp:positionV>
            <wp:extent cx="711835" cy="919480"/>
            <wp:effectExtent l="0" t="0" r="0" b="0"/>
            <wp:wrapNone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>
      <w:pPr>
        <w:pStyle w:val="Normal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32"/>
          <w:lang w:eastAsia="ru-RU"/>
        </w:rPr>
        <w:t xml:space="preserve">  </w:t>
      </w:r>
      <w:r>
        <w:rPr>
          <w:rFonts w:cs="Times New Roman"/>
          <w:sz w:val="28"/>
          <w:szCs w:val="28"/>
          <w:lang w:eastAsia="ru-RU"/>
        </w:rPr>
        <w:t>АДМИНИСТРАЦИЯ ГОРОДСКОГО ОКРУГА ФРЯЗИНО</w:t>
      </w:r>
    </w:p>
    <w:p>
      <w:pPr>
        <w:pStyle w:val="Heading3"/>
        <w:numPr>
          <w:ilvl w:val="2"/>
          <w:numId w:val="1"/>
        </w:numPr>
        <w:spacing w:before="240" w:after="0"/>
        <w:ind w:left="2410"/>
        <w:jc w:val="left"/>
        <w:rPr/>
      </w:pPr>
      <w:r>
        <w:rPr>
          <w:sz w:val="46"/>
          <w:szCs w:val="46"/>
        </w:rPr>
        <w:t>ПОСТАНОВЛЕНИЕ</w:t>
      </w:r>
    </w:p>
    <w:p>
      <w:pPr>
        <w:pStyle w:val="Normal"/>
        <w:spacing w:before="60" w:after="0"/>
        <w:ind w:left="1134"/>
        <w:rPr>
          <w:sz w:val="28"/>
          <w:szCs w:val="46"/>
        </w:rPr>
      </w:pPr>
      <w:r>
        <w:rPr>
          <w:sz w:val="28"/>
          <w:szCs w:val="46"/>
        </w:rPr>
      </w:r>
    </w:p>
    <w:p>
      <w:pPr>
        <w:pStyle w:val="Normal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8"/>
          <w:szCs w:val="28"/>
        </w:rPr>
        <w:t xml:space="preserve">  </w:t>
      </w:r>
      <w:r>
        <w:rPr>
          <w:rFonts w:cs="Times New Roman"/>
          <w:b/>
          <w:bCs/>
          <w:sz w:val="28"/>
          <w:szCs w:val="28"/>
        </w:rPr>
        <w:t>от</w:t>
      </w:r>
      <w:r>
        <w:rPr>
          <w:rFonts w:cs="Times New Roman"/>
          <w:sz w:val="28"/>
          <w:szCs w:val="28"/>
        </w:rPr>
        <w:t xml:space="preserve"> _________________ </w:t>
      </w:r>
      <w:r>
        <w:rPr>
          <w:rFonts w:cs="Times New Roman"/>
          <w:b/>
          <w:sz w:val="28"/>
          <w:szCs w:val="28"/>
        </w:rPr>
        <w:t>№</w:t>
      </w:r>
      <w:r>
        <w:rPr>
          <w:rFonts w:cs="Times New Roman"/>
          <w:sz w:val="28"/>
          <w:szCs w:val="28"/>
        </w:rPr>
        <w:t xml:space="preserve"> _______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419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внесении изменений в постановление Администрации городского округа Фрязино от 22.12.2022 № 930 «Об утверждении муниципальной программы городского округа Фрязино Московской области «Жилище» на 2023 - 2027 годы» 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соответствии с Бюджетным кодексом Российской Федерации,              Федеральным законом от 06.10.2003 № 131-ФЗ «Об общих принципах                организации местного самоуправления в Российской Федерации»,                   постановлением Правительства Московской области от 04.10.2022 № 1072/35 «О досрочном прекращении реализации государственной программы                  Московской области «Жилище» на 2017-2027 годы и утверждении                 государственной программы Московской области «Жилище» на 2023-2033            годы», постановлением Администрации городского округа Фрязино от 09.11.2022 № 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              № 187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23.12.2025 № 66/10 «О внесении             изменений в решение Совета депутатов городского округа Фрязино от 17.12.2024 № 519/90 «О бюджете городского округа Фрязино на 2025 год и плановый период 2026 и 2027 годов», руководствуясь Уставом городского округа Фрязино Московской области,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 о с т а н о в л я ю: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1. Внести в постановление Администрации городского округа Фрязино от 22.12.2022 № 930 «Об утверждении муниципальной программы городского округа Фрязино Московской области «Жилище» на 2023 - 2027 годы» (далее – Муниципальная программа) следующие изменения: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1.1. Паспорт Муниципальной программы изложить в новой редакции согласно приложению 1 к настоящему постановлению.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1.2. Перечень мероприятий подпрограммы II. «Обеспечение жильем молодых семей» Муниципальной программы изложить в новой редакции согласно 2 к настоящему постановлению.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2.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 - телекоммуникационной сети Интернет.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3. Назначить ответственным за исполнение настоящего постановления начальника отдела жилищной политики администрации городского округа Фрязино Федину О.В.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 Контроль за исполнением настоящего постановления возложить на заместителя главы городского округа Фрязино Силаеву Н.В.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709" w:gutter="0" w:header="0" w:top="1134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 городского округа Фрязино                                                     Д.Р. Воробьев</w:t>
      </w:r>
      <w:r>
        <w:br w:type="page"/>
      </w:r>
    </w:p>
    <w:p>
      <w:pPr>
        <w:pStyle w:val="ConsPlusTitle"/>
        <w:numPr>
          <w:ilvl w:val="0"/>
          <w:numId w:val="0"/>
        </w:numPr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№1</w:t>
      </w:r>
    </w:p>
    <w:p>
      <w:pPr>
        <w:pStyle w:val="ConsPlusTitle"/>
        <w:numPr>
          <w:ilvl w:val="0"/>
          <w:numId w:val="0"/>
        </w:numPr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к постановлению Администрации городского округа Фрязино</w:t>
      </w:r>
    </w:p>
    <w:p>
      <w:pPr>
        <w:pStyle w:val="ConsPlusTitle"/>
        <w:numPr>
          <w:ilvl w:val="0"/>
          <w:numId w:val="0"/>
        </w:numPr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от _____________ № ___</w:t>
      </w:r>
    </w:p>
    <w:p>
      <w:pPr>
        <w:pStyle w:val="ConsPlusTitle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hyperlink r:id="rId3">
        <w:r>
          <w:rPr/>
        </w:r>
      </w:hyperlink>
    </w:p>
    <w:p>
      <w:pPr>
        <w:pStyle w:val="ConsPlusTitle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hyperlink r:id="rId4">
        <w:r>
          <w:rPr>
            <w:rFonts w:cs="Times New Roman" w:ascii="Times New Roman" w:hAnsi="Times New Roman"/>
            <w:sz w:val="24"/>
            <w:szCs w:val="24"/>
          </w:rPr>
          <w:t>Паспорт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муниципальной программы городского округа Фрязино Московской области «Жилище» на 2023 - 2027 годы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pPr w:vertAnchor="text" w:horzAnchor="margin" w:leftFromText="180" w:rightFromText="180" w:tblpX="0" w:tblpY="75"/>
        <w:tblW w:w="148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10"/>
        <w:gridCol w:w="2372"/>
        <w:gridCol w:w="1702"/>
        <w:gridCol w:w="1559"/>
        <w:gridCol w:w="1560"/>
        <w:gridCol w:w="1559"/>
        <w:gridCol w:w="1418"/>
      </w:tblGrid>
      <w:tr>
        <w:trPr/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Заместитель главы городского округа Фрязино  Силаева Наталья Владимировна</w:t>
            </w:r>
          </w:p>
        </w:tc>
      </w:tr>
      <w:tr>
        <w:trPr/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cs="Times New Roman"/>
                <w:sz w:val="24"/>
                <w:szCs w:val="24"/>
                <w:lang w:eastAsia="ru-RU"/>
              </w:rPr>
              <w:t>униципальный заказчик муниципальной программы</w:t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Администрация городского округа Фрязино</w:t>
            </w:r>
          </w:p>
        </w:tc>
      </w:tr>
      <w:tr>
        <w:trPr>
          <w:trHeight w:val="144" w:hRule="atLeast"/>
        </w:trPr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Создание условий для ввода 27,66 тыс. кв. м жилья до 2027 года</w:t>
            </w:r>
          </w:p>
        </w:tc>
      </w:tr>
      <w:tr>
        <w:trPr>
          <w:trHeight w:val="120" w:hRule="atLeast"/>
        </w:trPr>
        <w:tc>
          <w:tcPr>
            <w:tcW w:w="4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contextualSpacing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Улучшение жилищных условий не менее 10 семей ежегодно к 2027 году</w:t>
            </w:r>
          </w:p>
        </w:tc>
      </w:tr>
      <w:tr>
        <w:trPr>
          <w:trHeight w:val="293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Перечень подпрограмм</w:t>
            </w:r>
          </w:p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>
        <w:trPr>
          <w:trHeight w:val="492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1. Подпрограмма I «Создание условий для жилищного строительства»</w:t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отдел жилищной политики администрации г.о. Фрязино</w:t>
            </w:r>
          </w:p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16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2. Подпрограмма II «Обеспечение жильем молодых семей</w:t>
            </w:r>
            <w:r>
              <w:rPr>
                <w:rFonts w:cs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отдел жилищной политики администрации г.о. Фрязино</w:t>
            </w:r>
          </w:p>
        </w:tc>
      </w:tr>
      <w:tr>
        <w:trPr>
          <w:trHeight w:val="1011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3. Подпрограмма 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отдел жилищной политики администрации г.о. Фрязино</w:t>
            </w:r>
          </w:p>
        </w:tc>
      </w:tr>
      <w:tr>
        <w:trPr>
          <w:trHeight w:val="1008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4. Подпрограмма VI «Обеспечение жильем отдельных категорий граждан за счет средств федерального бюджета»</w:t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отдел жилищной политики администрации г.о. Фрязино</w:t>
            </w:r>
          </w:p>
        </w:tc>
      </w:tr>
      <w:tr>
        <w:trPr>
          <w:trHeight w:val="735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5. Подпрограмма VII «Улучшение жилищных условий отдельных категорий многодетных семей»</w:t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отдел жилищной политики администрации г.о. Фрязино</w:t>
            </w:r>
          </w:p>
        </w:tc>
      </w:tr>
      <w:tr>
        <w:trPr>
          <w:trHeight w:val="348" w:hRule="atLeast"/>
        </w:trPr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I «Создание условий для жилищного строительства».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Основными проблемами в жилищной сфере являются недостаточный уровень обеспеченности жителей городского округа Фрязино Московской области жильем, наличие аварийного жилищного фонда. В городском округе Фрязино 9 многоквартирных домов признаны аварийными и подлежащими сносу. Способ переселения из аварийных домов определен – по договору от 17 февраля 2016 года № 30го/001 «О развитии застроенной территории в границах части квартала № 9 в городе Фрязино Московской области» заключенного между Министерством жилищной политики Московской области, администрацией города Фрязино и обществом с ограниченной ответственностью специализированный застройщик «Форт» (далее - Договор).</w:t>
            </w:r>
          </w:p>
        </w:tc>
      </w:tr>
      <w:tr>
        <w:trPr>
          <w:trHeight w:val="192" w:hRule="atLeast"/>
        </w:trPr>
        <w:tc>
          <w:tcPr>
            <w:tcW w:w="471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II «Обеспечение жильем молодых семей».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Поддержка молодых семей в вопросах улучшения жилищных условий является важным направлением жилищной политики в городском округе Фрязино Московской области.</w:t>
            </w:r>
          </w:p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Мероприятия  Подпрограммы 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 предусматривают оказание государственной поддержки молодым семьям - участницам  Подпрограммы 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в улучшении жилищных условий путем предоставления им социальных выплат на приобретение жилого помещения или создание объекта индивидуального жилищного строительства.</w:t>
            </w:r>
          </w:p>
        </w:tc>
      </w:tr>
      <w:tr>
        <w:trPr>
          <w:trHeight w:val="192" w:hRule="atLeast"/>
        </w:trPr>
        <w:tc>
          <w:tcPr>
            <w:tcW w:w="471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родителей».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Одним из наиболее важных и сложных вопросов в области защиты прав и законных интересов детей-сирот и детей, оставшихся без попечения родителей, лиц из числа детей-сирот и детей, оставшихся без попечения родителей, в возрасте от 18 до 23 лет является обеспечение указанной категории лиц жилыми помещениями.</w:t>
            </w:r>
          </w:p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Реализация мероприятий в рамках  Подпрограммы </w:t>
            </w:r>
            <w:r>
              <w:rPr>
                <w:rFonts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 позволяет достичь результативности, адресности и своевременности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  <w:tr>
        <w:trPr>
          <w:trHeight w:val="252" w:hRule="atLeast"/>
        </w:trPr>
        <w:tc>
          <w:tcPr>
            <w:tcW w:w="471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VI «Обеспечение жильем отдельных категорий граждан за счет средств федерального бюджета».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Федеральными законами от 12.01.1995 № 5-ФЗ «О ветеранах», от 24.11.1995 № 181-ФЗ «О социальной защите инвалидов в Российской Федерации»,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 и Указом Президента Российской Федерации от 07.05.2008 № 714 «Об обеспечении жильем ветеранов Великой Отечественной войны 1941-1945 годов»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граждан. Реализация мероприятий в рамках  Подпрограммы VI позволяет достичь результативности и адресности обеспечения жилыми помещениями ветеранов и инвалидов Великой Отечественной войны, членов семей погибших (умерших) инвалидов и участников Великой Отечественной войны;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детей-инвалидов; граждан, уволенных с военной службы, и приравненных к ним лиц.</w:t>
            </w:r>
          </w:p>
        </w:tc>
      </w:tr>
      <w:tr>
        <w:trPr>
          <w:trHeight w:val="841" w:hRule="atLeast"/>
        </w:trPr>
        <w:tc>
          <w:tcPr>
            <w:tcW w:w="47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</w:tc>
        <w:tc>
          <w:tcPr>
            <w:tcW w:w="10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VII «Улучшение жилищных условий отдельных категорий многодетных семей».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Подпрограмма VII разработана в целях реализации Указа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и поэтапного улучшения жилищных условий многодетных семей в городском округе Фрязино.</w:t>
            </w:r>
          </w:p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Мероприятия  Подпрограммы VII  предусматривают оказание государственной поддержки семьям, имеющим семь и более детей, и семьям, в которых одновременно родились не менее трех детей, - участницам  Подпрограммы VII 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дома.</w:t>
            </w:r>
          </w:p>
        </w:tc>
      </w:tr>
      <w:tr>
        <w:trPr/>
        <w:tc>
          <w:tcPr>
            <w:tcW w:w="4710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2023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2024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2025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2026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2027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год</w:t>
            </w:r>
          </w:p>
        </w:tc>
      </w:tr>
      <w:tr>
        <w:trPr/>
        <w:tc>
          <w:tcPr>
            <w:tcW w:w="47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Средства бюджета Московской области**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79 838,90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22 031,30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32 490,40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7 651,60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8 813,80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8 851,80</w:t>
            </w:r>
          </w:p>
        </w:tc>
      </w:tr>
      <w:tr>
        <w:trPr/>
        <w:tc>
          <w:tcPr>
            <w:tcW w:w="47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Средства федерального бюджета*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6 723,20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2 880,20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1 116,80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725,40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1 023,50</w:t>
            </w:r>
          </w:p>
        </w:tc>
      </w:tr>
      <w:tr>
        <w:trPr/>
        <w:tc>
          <w:tcPr>
            <w:tcW w:w="47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Средства бюджета городского округа Фрязино***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20 680,47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1 008,46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5 141,40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3 075,57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5 708,52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5 746,52</w:t>
            </w:r>
          </w:p>
        </w:tc>
      </w:tr>
      <w:tr>
        <w:trPr>
          <w:trHeight w:val="145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79 274,78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4 361,63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22 005,60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12 770,75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20 068,40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20 068,40</w:t>
            </w:r>
          </w:p>
        </w:tc>
      </w:tr>
      <w:tr>
        <w:trPr/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186 517,35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30 281,59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60 754,20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24 223,32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35 568,02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35 690,22</w:t>
            </w:r>
          </w:p>
        </w:tc>
      </w:tr>
    </w:tbl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 Объем подлежит уточнению после принятия закона о федеральном бюджете на соответствующий финансовый год.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** Объем подлежит уточнению после принятия закона о бюджете Московской области на соответствующий финансовый год.</w:t>
      </w:r>
    </w:p>
    <w:p>
      <w:pPr>
        <w:pStyle w:val="Normal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*** Объем подлежит уточнению после принятия закона о бюджете городского округа Фрязино Московской области на соответствующий финансовый год.</w:t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/>
      </w:r>
    </w:p>
    <w:p>
      <w:pPr>
        <w:pStyle w:val="ConsPlusTitle"/>
        <w:numPr>
          <w:ilvl w:val="0"/>
          <w:numId w:val="0"/>
        </w:numPr>
        <w:spacing w:before="0" w:after="0"/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№2</w:t>
      </w:r>
    </w:p>
    <w:p>
      <w:pPr>
        <w:pStyle w:val="ConsPlusTitle"/>
        <w:numPr>
          <w:ilvl w:val="0"/>
          <w:numId w:val="0"/>
        </w:numPr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к постановлению Администрации городского округа Фрязино</w:t>
      </w:r>
    </w:p>
    <w:p>
      <w:pPr>
        <w:pStyle w:val="ConsPlusTitle"/>
        <w:numPr>
          <w:ilvl w:val="0"/>
          <w:numId w:val="0"/>
        </w:numPr>
        <w:ind w:hanging="0" w:left="11340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  <w:t xml:space="preserve">от _____________ </w:t>
      </w:r>
      <w:r>
        <w:rPr>
          <w:rFonts w:cs="Times New Roman" w:ascii="Times New Roman" w:hAnsi="Times New Roman"/>
          <w:b w:val="false"/>
          <w:sz w:val="24"/>
          <w:szCs w:val="24"/>
        </w:rPr>
        <w:t>№</w:t>
      </w:r>
      <w:r>
        <w:rPr>
          <w:rFonts w:cs="Times New Roman"/>
          <w:b w:val="false"/>
          <w:sz w:val="24"/>
          <w:szCs w:val="24"/>
        </w:rPr>
        <w:t xml:space="preserve"> ___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/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jc w:val="center"/>
        <w:rPr>
          <w:rFonts w:ascii="Times New Roman" w:hAnsi="Times New Roman"/>
        </w:rPr>
      </w:pPr>
      <w:r>
        <w:rPr>
          <w:rFonts w:cs="Arial"/>
          <w:b/>
          <w:sz w:val="24"/>
          <w:szCs w:val="24"/>
        </w:rPr>
        <w:t>Перечень мероприятий подпрограммы II. Обеспечение жильем молодых семей</w:t>
      </w:r>
    </w:p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widowControl w:val="false"/>
        <w:suppressAutoHyphens w:val="true"/>
        <w:ind w:left="395"/>
        <w:jc w:val="center"/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tbl>
      <w:tblPr>
        <w:tblW w:w="147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2"/>
        <w:gridCol w:w="1421"/>
        <w:gridCol w:w="762"/>
        <w:gridCol w:w="1545"/>
        <w:gridCol w:w="1378"/>
        <w:gridCol w:w="1136"/>
        <w:gridCol w:w="1137"/>
        <w:gridCol w:w="379"/>
        <w:gridCol w:w="472"/>
        <w:gridCol w:w="567"/>
        <w:gridCol w:w="571"/>
        <w:gridCol w:w="567"/>
        <w:gridCol w:w="570"/>
        <w:gridCol w:w="1418"/>
        <w:gridCol w:w="1418"/>
        <w:gridCol w:w="834"/>
      </w:tblGrid>
      <w:tr>
        <w:trPr>
          <w:trHeight w:val="497" w:hRule="atLeast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№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п/п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Всего</w:t>
              <w:br/>
              <w:t>(тыс. руб.)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Объемы финансирования по годам</w:t>
              <w:br/>
              <w:t>(тыс. руб.)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>
        <w:trPr/>
        <w:tc>
          <w:tcPr>
            <w:tcW w:w="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3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2023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2024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2025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2026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2027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387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</w:tr>
      <w:tr>
        <w:trPr>
          <w:trHeight w:val="556" w:hRule="atLeast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1.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i/>
                <w:sz w:val="24"/>
                <w:szCs w:val="24"/>
              </w:rPr>
              <w:t>Основное мероприятие 01. «</w:t>
            </w:r>
            <w:r>
              <w:rPr>
                <w:rFonts w:cs="Arial"/>
                <w:sz w:val="24"/>
                <w:szCs w:val="24"/>
              </w:rPr>
              <w:t>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  <w:r>
              <w:rPr>
                <w:rFonts w:cs="Arial"/>
                <w:i/>
                <w:sz w:val="24"/>
                <w:szCs w:val="24"/>
              </w:rPr>
              <w:t>»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2023-2027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121 723,19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6 710,43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33 405,20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19 647,32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30 919,02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31 041,22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Отдел жилищной политики администрации г.о. Фрязино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/>
        <w:tc>
          <w:tcPr>
            <w:tcW w:w="59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17 568,90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5 141,40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3 075,60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4 164,80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4 202,80</w:t>
            </w:r>
          </w:p>
        </w:tc>
        <w:tc>
          <w:tcPr>
            <w:tcW w:w="8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/>
        <w:tc>
          <w:tcPr>
            <w:tcW w:w="59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4 223,20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380,20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1 116,80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725,40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1 023,50</w:t>
            </w:r>
          </w:p>
        </w:tc>
        <w:tc>
          <w:tcPr>
            <w:tcW w:w="8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876" w:hRule="atLeast"/>
        </w:trPr>
        <w:tc>
          <w:tcPr>
            <w:tcW w:w="59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Средства бюджета городского округа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20 656,31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5 141,40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3 075,57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5 708,52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5 746,52</w:t>
            </w:r>
          </w:p>
        </w:tc>
        <w:tc>
          <w:tcPr>
            <w:tcW w:w="83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487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79 274,78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4 361,63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22 005,60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12 770,75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20 068,40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20 068,40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граждане-участники подпрограммы</w:t>
            </w:r>
          </w:p>
        </w:tc>
      </w:tr>
      <w:tr>
        <w:trPr>
          <w:trHeight w:val="131" w:hRule="atLeast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i/>
                <w:sz w:val="24"/>
                <w:szCs w:val="24"/>
              </w:rPr>
              <w:t>Мероприятие 01.01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«Реализация мероприятий по обеспечению жильем молодых семей»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2023-2027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121 723,19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6 710,43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33 405,20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19 647,32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30 919,02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31 041,22</w:t>
            </w:r>
          </w:p>
        </w:tc>
        <w:tc>
          <w:tcPr>
            <w:tcW w:w="8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219" w:hRule="atLeast"/>
        </w:trPr>
        <w:tc>
          <w:tcPr>
            <w:tcW w:w="59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17 568,90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5 141,40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3 075,60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4 164,80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4 202,80</w:t>
            </w:r>
          </w:p>
        </w:tc>
        <w:tc>
          <w:tcPr>
            <w:tcW w:w="8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707" w:hRule="atLeast"/>
        </w:trPr>
        <w:tc>
          <w:tcPr>
            <w:tcW w:w="59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4 223,20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380,20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1 116,80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725,40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1 023,50</w:t>
            </w:r>
          </w:p>
        </w:tc>
        <w:tc>
          <w:tcPr>
            <w:tcW w:w="834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497" w:hRule="atLeast"/>
        </w:trPr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20 656,31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5 141,40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3 075,57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5 708,52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5 746,52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82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79 274,78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4 361,63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22 005,60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12 770,75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20 068,40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20 068,40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336" w:hRule="atLeast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Результат 1. Количество молодых семей, получивших свидетельство о праве на получение социальной выплаты, семьи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2023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Итого 2025</w:t>
            </w:r>
          </w:p>
        </w:tc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2026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2027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5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3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13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851" w:type="dxa"/>
            <w:gridSpan w:val="2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 квартал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 полугодие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9 месяцев</w:t>
            </w:r>
          </w:p>
        </w:tc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12 месяцев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8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336" w:hRule="atLeast"/>
        </w:trPr>
        <w:tc>
          <w:tcPr>
            <w:tcW w:w="5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3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</w:r>
          </w:p>
        </w:tc>
        <w:tc>
          <w:tcPr>
            <w:tcW w:w="1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3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4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1416" w:hRule="atLeast"/>
        </w:trPr>
        <w:tc>
          <w:tcPr>
            <w:tcW w:w="5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456" w:hRule="atLeast"/>
        </w:trPr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Результат 2.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Обеспечены жильем молодые семьи, тысяч семей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383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Итого по подпрограмме 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2023-2027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121 723,19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6 710,43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33 405,20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19 647,32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30 919,02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31 041,22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Граждане-участники подпрограммы</w:t>
            </w:r>
          </w:p>
        </w:tc>
      </w:tr>
      <w:tr>
        <w:trPr>
          <w:trHeight w:val="383" w:hRule="atLeast"/>
        </w:trPr>
        <w:tc>
          <w:tcPr>
            <w:tcW w:w="5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17 568,90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5 141,40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3 075,60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4 164,80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4 202,80</w:t>
            </w:r>
          </w:p>
        </w:tc>
        <w:tc>
          <w:tcPr>
            <w:tcW w:w="8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1251" w:hRule="atLeast"/>
        </w:trPr>
        <w:tc>
          <w:tcPr>
            <w:tcW w:w="5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Средства</w:t>
            </w:r>
          </w:p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федерального бюджета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4 223,20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380,20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1 116,80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725,40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977,30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1 023,50</w:t>
            </w:r>
          </w:p>
        </w:tc>
        <w:tc>
          <w:tcPr>
            <w:tcW w:w="8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383" w:hRule="atLeast"/>
        </w:trPr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20 656,31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984,30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5 141,40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3 075,57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5 708,52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5 746,52</w:t>
            </w:r>
          </w:p>
        </w:tc>
        <w:tc>
          <w:tcPr>
            <w:tcW w:w="83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383" w:hRule="atLeast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4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79 274,78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4 361,63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22 005,60</w:t>
            </w:r>
          </w:p>
        </w:tc>
        <w:tc>
          <w:tcPr>
            <w:tcW w:w="31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Arial"/>
                <w:sz w:val="24"/>
                <w:szCs w:val="24"/>
                <w:shd w:fill="auto" w:val="clear"/>
              </w:rPr>
              <w:t>12 770,75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20 068,40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cs="Arial"/>
                <w:sz w:val="24"/>
                <w:szCs w:val="24"/>
              </w:rPr>
              <w:t>20 068,40</w:t>
            </w:r>
          </w:p>
        </w:tc>
        <w:tc>
          <w:tcPr>
            <w:tcW w:w="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276" w:leader="none"/>
                <w:tab w:val="left" w:pos="3544" w:leader="none"/>
                <w:tab w:val="right" w:pos="9639" w:leader="none"/>
              </w:tabs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1276" w:leader="none"/>
          <w:tab w:val="left" w:pos="3544" w:leader="none"/>
          <w:tab w:val="right" w:pos="9639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sz w:val="27"/>
          <w:szCs w:val="27"/>
        </w:rPr>
      </w:r>
    </w:p>
    <w:sectPr>
      <w:type w:val="nextPage"/>
      <w:pgSz w:orient="landscape" w:w="16838" w:h="11906"/>
      <w:pgMar w:left="1134" w:right="851" w:gutter="0" w:header="0" w:top="851" w:footer="0" w:bottom="851"/>
      <w:pgNumType w:fmt="decimal"/>
      <w:formProt w:val="false"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4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Hyperlink">
    <w:name w:val="Hyperlink"/>
    <w:rPr>
      <w:color w:val="0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1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7a9c"/>
    <w:pPr>
      <w:spacing w:before="0" w:after="0"/>
      <w:ind w:left="720"/>
      <w:contextualSpacing/>
    </w:pPr>
    <w:rPr/>
  </w:style>
  <w:style w:type="paragraph" w:styleId="Style14">
    <w:name w:val="Содержимое врезки"/>
    <w:basedOn w:val="Normal"/>
    <w:qFormat/>
    <w:pPr/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4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LibreOffice/7.6.4.1$Windows_X86_64 LibreOffice_project/e19e193f88cd6c0525a17fb7a176ed8e6a3e2aa1</Application>
  <AppVersion>15.0000</AppVersion>
  <Pages>8</Pages>
  <Words>1503</Words>
  <Characters>9724</Characters>
  <CharactersWithSpaces>11501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2025-09-09T11:04:00Z</dcterms:created>
  <dc:creator>Роман</dc:creator>
  <dc:description/>
  <dc:language>ru-RU</dc:language>
  <cp:lastModifiedBy/>
  <cp:lastPrinted>2025-02-06T07:19:00Z</cp:lastPrinted>
  <dcterms:modified xsi:type="dcterms:W3CDTF">2026-01-29T16:21:27Z</dcterms:modified>
  <cp:revision>7</cp:revision>
  <dc:subject/>
  <dc:title>РУКОВОДИТЕЛЬ АДМИНИСТРАЦИИ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