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Heading4"/>
        <w:numPr>
          <w:ilvl w:val="3"/>
          <w:numId w:val="1"/>
        </w:numPr>
        <w:spacing w:before="60" w:after="0"/>
        <w:rPr/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Heading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Heading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Heading3"/>
        <w:numPr>
          <w:ilvl w:val="2"/>
          <w:numId w:val="1"/>
        </w:numPr>
        <w:spacing w:before="240" w:after="0"/>
        <w:jc w:val="left"/>
        <w:rPr>
          <w:sz w:val="26"/>
          <w:szCs w:val="26"/>
        </w:rPr>
      </w:pPr>
      <w:r>
        <w:rPr>
          <w:rFonts w:eastAsia="Andalus" w:cs="Times New Roman" w:ascii="Times New Roman" w:hAnsi="Times New Roman"/>
          <w:sz w:val="26"/>
          <w:szCs w:val="26"/>
        </w:rPr>
        <w:t xml:space="preserve">           </w:t>
      </w:r>
      <w:r>
        <w:rPr>
          <w:rFonts w:eastAsia="Andalus" w:cs="Times New Roman" w:ascii="Times New Roman" w:hAnsi="Times New Roman"/>
          <w:sz w:val="26"/>
          <w:szCs w:val="26"/>
        </w:rPr>
        <w:t xml:space="preserve">от           </w:t>
        <w:tab/>
        <w:tab/>
        <w:tab/>
        <w:tab/>
        <w:tab/>
        <w:t xml:space="preserve">                        № </w:t>
      </w:r>
    </w:p>
    <w:p>
      <w:pPr>
        <w:pStyle w:val="Heading3"/>
        <w:numPr>
          <w:ilvl w:val="2"/>
          <w:numId w:val="1"/>
        </w:numPr>
        <w:spacing w:before="240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</w:tblGrid>
      <w:tr>
        <w:trPr>
          <w:trHeight w:val="2290" w:hRule="atLeast"/>
        </w:trPr>
        <w:tc>
          <w:tcPr>
            <w:tcW w:w="4644" w:type="dxa"/>
            <w:tcBorders/>
            <w:shd w:color="auto" w:fill="auto" w:val="clear"/>
          </w:tcPr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  <w:lang w:eastAsia="en-US" w:bidi="ar-SA"/>
              </w:rPr>
              <w:t xml:space="preserve">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  <w:lang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  <w:lang w:eastAsia="en-US" w:bidi="ar-SA"/>
              </w:rPr>
              <w:t xml:space="preserve"> 156/35</w:t>
            </w:r>
          </w:p>
        </w:tc>
      </w:tr>
    </w:tbl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для обеспечения единой правовой базы формирования системы оплаты труда и ее единообразное применение для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Фрязино Московской области, руководствуясь Уставом городского округа Фрязино Московской области,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Совет депутатов городского округа Фрязино решил: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1. Внести в 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A0404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№ 156/35 (далее - Положение) следующие изменения: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1.1.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A0404"/>
            <w:sz w:val="28"/>
            <w:szCs w:val="28"/>
            <w:u w:val="none"/>
          </w:rPr>
          <w:t>Абзац четвертый пункта 2.3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. Положения изложить в следующей редакции: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«выплату премии по результатам работы за месяц, квартал, год;».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1.2. Наименование раздела 9 Положения изложить в следующей редакции: 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«9. </w:t>
      </w:r>
      <w:r>
        <w:rPr>
          <w:rFonts w:ascii="Times New Roman" w:hAnsi="Times New Roman"/>
          <w:sz w:val="28"/>
          <w:szCs w:val="28"/>
        </w:rPr>
        <w:t xml:space="preserve"> Выплата премии по результатам работы за месяц, квартал, год».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9.1. Положения изложить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«9.1. 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Работнику по результатам работы за месяц, квартал, год выплачивается премия (далее — премия).».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1.4. Раздел 14  Положения изложить в следующей редакции: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09" w:left="0" w:right="0"/>
        <w:jc w:val="center"/>
        <w:outlineLvl w:val="0"/>
        <w:rPr>
          <w:rFonts w:ascii="Times New Roman" w:hAnsi="Times New Roman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A0404"/>
          <w:sz w:val="28"/>
          <w:szCs w:val="28"/>
          <w:u w:val="none"/>
        </w:rPr>
        <w:t>«14. Ежемесячные выплаты на расходы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A0404"/>
          <w:sz w:val="28"/>
          <w:szCs w:val="28"/>
          <w:u w:val="none"/>
        </w:rPr>
        <w:t>лечебно-оздоровительного характера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14.1. Ежемесячная выплата на расходы лечебно-оздоровительного характера устанавливается для всех работников органов местного самоуправления городского округа Фрязино Московской области, с учетом положений </w:t>
      </w:r>
      <w:hyperlink w:anchor="Par2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A0404"/>
            <w:sz w:val="28"/>
            <w:szCs w:val="28"/>
            <w:u w:val="none"/>
          </w:rPr>
          <w:t>пункта 14.6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 настоящего Положения.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 xml:space="preserve">14.2. Размер ежемесячной выплаты на расходы лечебно-оздоровительного характера определяется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  <w:shd w:fill="auto" w:val="clear"/>
        </w:rPr>
        <w:t>в размере 150 процентов (%)</w:t>
      </w:r>
      <w:bookmarkStart w:id="0" w:name="_GoBack"/>
      <w:bookmarkEnd w:id="0"/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  <w:shd w:fill="auto" w:val="clear"/>
        </w:rPr>
        <w:t xml:space="preserve"> должностного оклада.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14.3. Ежемесячная выплата на расходы лечебно-оздоровительного характера выплачивается одновременно с заработной платой за прошедший месяц.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14.4. Работнику, принятому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работник принят на работу (службу).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14.5. Ежемесячная выплата на расходы лечебно-оздоровительного характера не производится за период нахождения работника: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без сохранения заработной платы;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по беременности и родам;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отпуске по уходу за ребенком до достижения им возраста трех лет;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в учебном отпуске.</w:t>
      </w:r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14.6. При увольнении работника ежемесячная выплата на расходы лечебно-оздоровительного характера производится пропорционально отработанному времени в текущем месяце.</w:t>
      </w:r>
      <w:bookmarkStart w:id="1" w:name="Par24"/>
    </w:p>
    <w:p>
      <w:pPr>
        <w:pStyle w:val="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14.7. Решение о ежемесячной выплате на расходы лечебно-оздоровительного характера принимает представитель нанимателя (работодатель).».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A0404"/>
          <w:sz w:val="28"/>
          <w:szCs w:val="28"/>
          <w:u w:val="none"/>
        </w:rPr>
        <w:t>2. Настоящее решение вступает в силу с 01 января 2026 года.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3. Направить настоящее решение Главе городского округа Фрязино для подписания и опубликования.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eastAsia="Calibri" w:cs="Times New Roman" w:ascii="Times New Roman" w:hAnsi="Times New Roman"/>
          <w:color w:val="0A0404"/>
          <w:sz w:val="28"/>
          <w:szCs w:val="28"/>
          <w:lang w:eastAsia="en-US" w:bidi="ar-SA"/>
        </w:rPr>
        <w:t>4. Контроль за исполнением настоящего решения возложить на заместителя председателя Совета депутатов Коновалову П.А.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7"/>
      </w:tblGrid>
      <w:tr>
        <w:trPr/>
        <w:tc>
          <w:tcPr>
            <w:tcW w:w="4676" w:type="dxa"/>
            <w:tcBorders/>
          </w:tcPr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Председатель Совета депутатов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городского округа Фрязино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__________________П.А. Коновалова</w:t>
            </w:r>
          </w:p>
        </w:tc>
        <w:tc>
          <w:tcPr>
            <w:tcW w:w="4677" w:type="dxa"/>
            <w:tcBorders/>
          </w:tcPr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Глава городского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округа Фрязино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___________________Д.Р. Воробьев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</w:r>
          </w:p>
        </w:tc>
      </w:tr>
    </w:tbl>
    <w:p>
      <w:pPr>
        <w:pStyle w:val="ConsPlusNormal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  <w:bookmarkEnd w:id="1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Heading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le" w:customStyle="1">
    <w:name w:val="Title"/>
    <w:basedOn w:val="1"/>
    <w:qFormat/>
    <w:pPr/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Содержимое таблицы"/>
    <w:basedOn w:val="Normal"/>
    <w:qFormat/>
    <w:pPr>
      <w:suppressLineNumbers/>
    </w:pPr>
    <w:rPr/>
  </w:style>
  <w:style w:type="paragraph" w:styleId="11" w:customStyle="1">
    <w:name w:val="Обычный1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21" w:customStyle="1">
    <w:name w:val="Основной текст с отступом 21"/>
    <w:basedOn w:val="11"/>
    <w:qFormat/>
    <w:pPr>
      <w:ind w:firstLine="720"/>
      <w:jc w:val="both"/>
    </w:pPr>
    <w:rPr>
      <w:sz w:val="28"/>
      <w:szCs w:val="28"/>
    </w:rPr>
  </w:style>
  <w:style w:type="paragraph" w:styleId="Style14" w:customStyle="1">
    <w:name w:val="Основной текс"/>
    <w:basedOn w:val="11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15" w:customStyle="1">
    <w:name w:val="Блочная цитата"/>
    <w:basedOn w:val="Normal"/>
    <w:qFormat/>
    <w:pPr/>
    <w:rPr/>
  </w:style>
  <w:style w:type="paragraph" w:styleId="Subtitle">
    <w:name w:val="Subtitle"/>
    <w:basedOn w:val="1"/>
    <w:qFormat/>
    <w:pPr/>
    <w:rPr/>
  </w:style>
  <w:style w:type="paragraph" w:styleId="ListNumber">
    <w:name w:val="List Number"/>
    <w:basedOn w:val="Normal"/>
    <w:uiPriority w:val="99"/>
    <w:semiHidden/>
    <w:unhideWhenUsed/>
    <w:rsid w:val="006c470e"/>
    <w:pPr>
      <w:numPr>
        <w:ilvl w:val="0"/>
        <w:numId w:val="2"/>
      </w:numPr>
      <w:spacing w:before="0" w:after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f757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MOB&amp;n=394426&amp;dst=100013" TargetMode="External"/><Relationship Id="rId4" Type="http://schemas.openxmlformats.org/officeDocument/2006/relationships/hyperlink" Target="https://login.consultant.ru/link/?req=doc&amp;base=MOB&amp;n=394426&amp;dst=100028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LibreOffice/7.6.4.1$Windows_X86_64 LibreOffice_project/e19e193f88cd6c0525a17fb7a176ed8e6a3e2aa1</Application>
  <AppVersion>15.0000</AppVersion>
  <Pages>3</Pages>
  <Words>438</Words>
  <Characters>3182</Characters>
  <CharactersWithSpaces>3643</CharactersWithSpaces>
  <Paragraphs>39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2025-11-07T12:42:00Z</dcterms:created>
  <dc:creator>Zaharova OI</dc:creator>
  <dc:description/>
  <dc:language>ru-RU</dc:language>
  <cp:lastModifiedBy/>
  <cp:lastPrinted>2025-03-17T12:51:01Z</cp:lastPrinted>
  <dcterms:modified xsi:type="dcterms:W3CDTF">2025-11-10T09:09:22Z</dcterms:modified>
  <cp:revision>10</cp:revision>
  <dc:subject/>
  <dc:title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